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C3CFF" w:rsidR="0094424E" w:rsidP="00D44968" w:rsidRDefault="0094424E">
      <w:pPr>
        <w:suppressLineNumbers/>
        <w:rPr>
          <w:sz w:val="16"/>
          <w:szCs w:val="16"/>
          <w:rtl/>
        </w:rPr>
      </w:pPr>
      <w:bookmarkStart w:name="_GoBack" w:id="0"/>
      <w:r>
        <w:rPr>
          <w:rtl/>
        </w:rPr>
        <w:t xml:space="preserve"> </w:t>
      </w:r>
    </w:p>
    <w:tbl>
      <w:tblPr>
        <w:tblStyle w:val="a9"/>
        <w:bidiVisual/>
        <w:tblW w:w="8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1E0" w:firstRow="1" w:lastRow="1" w:firstColumn="1" w:lastColumn="1" w:noHBand="0" w:noVBand="0"/>
      </w:tblPr>
      <w:tblGrid>
        <w:gridCol w:w="743"/>
        <w:gridCol w:w="2506"/>
        <w:gridCol w:w="5571"/>
      </w:tblGrid>
      <w:tr w:rsidR="0094424E">
        <w:trPr>
          <w:jc w:val="center"/>
        </w:trPr>
        <w:tc>
          <w:tcPr>
            <w:tcW w:w="743" w:type="dxa"/>
          </w:tcPr>
          <w:p w:rsidRPr="00A263CE" w:rsidR="0094424E" w:rsidP="00D44968" w:rsidRDefault="00DA2495">
            <w:pPr>
              <w:suppressLineNumbers/>
              <w:jc w:val="both"/>
              <w:rPr>
                <w:rFonts w:ascii="Arial" w:hAnsi="Arial"/>
                <w:b/>
                <w:bCs/>
                <w:sz w:val="26"/>
                <w:szCs w:val="26"/>
                <w:rtl/>
              </w:rPr>
            </w:pPr>
            <w:r w:rsidRPr="00A263CE">
              <w:rPr>
                <w:rFonts w:hint="cs" w:ascii="Arial" w:hAnsi="Arial"/>
                <w:b/>
                <w:bCs/>
                <w:sz w:val="26"/>
                <w:szCs w:val="26"/>
                <w:rtl/>
              </w:rPr>
              <w:t>ל</w:t>
            </w:r>
            <w:r w:rsidRPr="00A263CE" w:rsidR="0094424E">
              <w:rPr>
                <w:rFonts w:ascii="Arial" w:hAnsi="Arial"/>
                <w:b/>
                <w:bCs/>
                <w:sz w:val="26"/>
                <w:szCs w:val="26"/>
                <w:rtl/>
              </w:rPr>
              <w:t xml:space="preserve">פני </w:t>
            </w:r>
          </w:p>
        </w:tc>
        <w:tc>
          <w:tcPr>
            <w:tcW w:w="8077" w:type="dxa"/>
            <w:gridSpan w:val="2"/>
          </w:tcPr>
          <w:p w:rsidRPr="00A263CE" w:rsidR="0094424E" w:rsidP="00E9269D" w:rsidRDefault="000529D2">
            <w:pPr>
              <w:suppressLineNumbers/>
              <w:rPr>
                <w:rFonts w:ascii="Arial" w:hAnsi="Arial"/>
                <w:b/>
                <w:bCs/>
                <w:sz w:val="26"/>
                <w:szCs w:val="26"/>
                <w:rtl/>
              </w:rPr>
            </w:pPr>
            <w:r w:rsidRPr="00A263CE">
              <w:rPr>
                <w:rFonts w:hint="cs" w:ascii="Arial" w:hAnsi="Arial"/>
                <w:b/>
                <w:bCs/>
                <w:sz w:val="26"/>
                <w:szCs w:val="26"/>
                <w:rtl/>
              </w:rPr>
              <w:t>כבוד</w:t>
            </w:r>
            <w:r w:rsidRPr="00A263CE" w:rsidR="0094424E">
              <w:rPr>
                <w:rFonts w:hint="cs" w:ascii="Arial" w:hAnsi="Arial"/>
                <w:b/>
                <w:bCs/>
                <w:sz w:val="26"/>
                <w:szCs w:val="26"/>
                <w:rtl/>
              </w:rPr>
              <w:t xml:space="preserve"> ה</w:t>
            </w:r>
            <w:sdt>
              <w:sdtPr>
                <w:rPr>
                  <w:sz w:val="26"/>
                  <w:szCs w:val="26"/>
                  <w:rtl/>
                </w:rPr>
                <w:alias w:val="1574"/>
                <w:tag w:val="1574"/>
                <w:id w:val="414602899"/>
                <w:text w:multiLine="1"/>
              </w:sdtPr>
              <w:sdtEndPr/>
              <w:sdtContent>
                <w:r w:rsidRPr="00A263CE">
                  <w:rPr>
                    <w:rFonts w:ascii="Arial" w:hAnsi="Arial"/>
                    <w:b/>
                    <w:bCs/>
                    <w:sz w:val="26"/>
                    <w:szCs w:val="26"/>
                    <w:rtl/>
                  </w:rPr>
                  <w:t>שופט</w:t>
                </w:r>
              </w:sdtContent>
            </w:sdt>
            <w:r w:rsidRPr="00A263CE" w:rsidR="0094424E">
              <w:rPr>
                <w:rFonts w:hint="cs" w:ascii="Arial" w:hAnsi="Arial"/>
                <w:b/>
                <w:bCs/>
                <w:sz w:val="26"/>
                <w:szCs w:val="26"/>
                <w:rtl/>
              </w:rPr>
              <w:t xml:space="preserve"> </w:t>
            </w:r>
            <w:sdt>
              <w:sdtPr>
                <w:rPr>
                  <w:sz w:val="26"/>
                  <w:szCs w:val="26"/>
                  <w:rtl/>
                </w:rPr>
                <w:alias w:val="1573"/>
                <w:tag w:val="1573"/>
                <w:id w:val="-1751030614"/>
                <w:text w:multiLine="1"/>
              </w:sdtPr>
              <w:sdtEndPr/>
              <w:sdtContent>
                <w:r w:rsidRPr="00A263CE">
                  <w:rPr>
                    <w:rFonts w:ascii="Arial" w:hAnsi="Arial"/>
                    <w:b/>
                    <w:bCs/>
                    <w:sz w:val="26"/>
                    <w:szCs w:val="26"/>
                    <w:rtl/>
                  </w:rPr>
                  <w:t>גיל דניאל</w:t>
                </w:r>
              </w:sdtContent>
            </w:sdt>
          </w:p>
          <w:p w:rsidRPr="00A263CE" w:rsidR="0094424E" w:rsidP="00D44968" w:rsidRDefault="0094424E">
            <w:pPr>
              <w:suppressLineNumbers/>
              <w:rPr>
                <w:rFonts w:ascii="Arial" w:hAnsi="Arial" w:cs="FrankRuehl"/>
                <w:sz w:val="26"/>
                <w:szCs w:val="26"/>
                <w:highlight w:val="yellow"/>
              </w:rPr>
            </w:pPr>
          </w:p>
        </w:tc>
      </w:tr>
      <w:tr w:rsidR="0094424E" w:rsidTr="00465D36">
        <w:trPr>
          <w:jc w:val="center"/>
        </w:trPr>
        <w:tc>
          <w:tcPr>
            <w:tcW w:w="3249" w:type="dxa"/>
            <w:gridSpan w:val="2"/>
          </w:tcPr>
          <w:p w:rsidRPr="00A263CE" w:rsidR="0094424E" w:rsidP="00D44968" w:rsidRDefault="0094424E">
            <w:pPr>
              <w:suppressLineNumbers/>
              <w:rPr>
                <w:rFonts w:ascii="Arial" w:hAnsi="Arial"/>
                <w:b/>
                <w:bCs/>
                <w:noProof w:val="0"/>
                <w:sz w:val="26"/>
                <w:szCs w:val="26"/>
              </w:rPr>
            </w:pPr>
          </w:p>
          <w:sdt>
            <w:sdtPr>
              <w:rPr>
                <w:sz w:val="26"/>
                <w:szCs w:val="26"/>
                <w:rtl/>
              </w:rPr>
              <w:alias w:val="1180"/>
              <w:tag w:val="1180"/>
              <w:id w:val="637458750"/>
              <w:text w:multiLine="1"/>
            </w:sdtPr>
            <w:sdtEndPr/>
            <w:sdtContent>
              <w:p w:rsidRPr="00A263CE" w:rsidR="00F66766" w:rsidP="00C10B72" w:rsidRDefault="00C10B72">
                <w:pPr>
                  <w:suppressLineNumbers/>
                  <w:rPr>
                    <w:rFonts w:ascii="Arial" w:hAnsi="Arial"/>
                    <w:b/>
                    <w:bCs/>
                    <w:noProof w:val="0"/>
                    <w:sz w:val="26"/>
                    <w:szCs w:val="26"/>
                    <w:rtl/>
                  </w:rPr>
                </w:pPr>
                <w:r w:rsidRPr="00A263CE">
                  <w:rPr>
                    <w:rFonts w:hint="cs" w:ascii="Arial" w:hAnsi="Arial"/>
                    <w:b/>
                    <w:bCs/>
                    <w:noProof w:val="0"/>
                    <w:sz w:val="26"/>
                    <w:szCs w:val="26"/>
                    <w:rtl/>
                  </w:rPr>
                  <w:t>ה</w:t>
                </w:r>
                <w:r w:rsidRPr="00A263CE" w:rsidR="008038F4">
                  <w:rPr>
                    <w:rFonts w:ascii="Arial" w:hAnsi="Arial"/>
                    <w:b/>
                    <w:bCs/>
                    <w:noProof w:val="0"/>
                    <w:sz w:val="26"/>
                    <w:szCs w:val="26"/>
                    <w:rtl/>
                  </w:rPr>
                  <w:t>תובע</w:t>
                </w:r>
                <w:r w:rsidRPr="00A263CE">
                  <w:rPr>
                    <w:rFonts w:hint="cs" w:ascii="Arial" w:hAnsi="Arial"/>
                    <w:b/>
                    <w:bCs/>
                    <w:noProof w:val="0"/>
                    <w:sz w:val="26"/>
                    <w:szCs w:val="26"/>
                    <w:rtl/>
                  </w:rPr>
                  <w:t>ת</w:t>
                </w:r>
              </w:p>
            </w:sdtContent>
          </w:sdt>
        </w:tc>
        <w:tc>
          <w:tcPr>
            <w:tcW w:w="5571" w:type="dxa"/>
          </w:tcPr>
          <w:p w:rsidRPr="00A263CE" w:rsidR="0094424E" w:rsidP="00D44968" w:rsidRDefault="0094424E">
            <w:pPr>
              <w:suppressLineNumbers/>
              <w:rPr>
                <w:rFonts w:ascii="Arial" w:hAnsi="Arial"/>
                <w:b/>
                <w:bCs/>
                <w:noProof w:val="0"/>
                <w:sz w:val="26"/>
                <w:szCs w:val="26"/>
                <w:rtl/>
              </w:rPr>
            </w:pPr>
          </w:p>
          <w:p w:rsidRPr="00A263CE" w:rsidR="00C10B72" w:rsidP="007C2453" w:rsidRDefault="00EC4196">
            <w:pPr>
              <w:suppressLineNumbers/>
              <w:rPr>
                <w:rFonts w:ascii="Arial" w:hAnsi="Arial"/>
                <w:b/>
                <w:bCs/>
                <w:noProof w:val="0"/>
                <w:sz w:val="26"/>
                <w:szCs w:val="26"/>
                <w:rtl/>
              </w:rPr>
            </w:pPr>
            <w:sdt>
              <w:sdtPr>
                <w:rPr>
                  <w:rFonts w:hint="cs" w:ascii="Arial" w:hAnsi="Arial"/>
                  <w:b/>
                  <w:bCs/>
                  <w:noProof w:val="0"/>
                  <w:sz w:val="26"/>
                  <w:szCs w:val="26"/>
                  <w:rtl/>
                </w:rPr>
                <w:alias w:val="3151"/>
                <w:tag w:val="3151"/>
                <w:id w:val="1398553265"/>
                <w:placeholder>
                  <w:docPart w:val="7D8E46D2581B4CD9ACC623ACA7D52F75"/>
                </w:placeholder>
                <w:text w:multiLine="1"/>
              </w:sdtPr>
              <w:sdtEndPr/>
              <w:sdtContent>
                <w:r w:rsidRPr="00A263CE" w:rsidR="00424313">
                  <w:rPr>
                    <w:rFonts w:hint="eastAsia" w:ascii="Arial" w:hAnsi="Arial"/>
                    <w:b/>
                    <w:bCs/>
                    <w:noProof w:val="0"/>
                    <w:sz w:val="26"/>
                    <w:szCs w:val="26"/>
                    <w:rtl/>
                  </w:rPr>
                  <w:t>כ. כוכב הנגב - חברה לבנין ופתוח (1990) בע"מ</w:t>
                </w:r>
              </w:sdtContent>
            </w:sdt>
            <w:r w:rsidRPr="00A263CE" w:rsidR="00B859C5">
              <w:rPr>
                <w:rFonts w:hint="cs"/>
                <w:sz w:val="26"/>
                <w:szCs w:val="26"/>
                <w:rtl/>
              </w:rPr>
              <w:t xml:space="preserve"> </w:t>
            </w:r>
          </w:p>
          <w:p w:rsidRPr="00EC3CFF" w:rsidR="00C10B72" w:rsidP="007C2453" w:rsidRDefault="00C10B72">
            <w:pPr>
              <w:suppressLineNumbers/>
              <w:rPr>
                <w:rFonts w:ascii="Arial" w:hAnsi="Arial"/>
                <w:b/>
                <w:bCs/>
                <w:noProof w:val="0"/>
                <w:sz w:val="22"/>
                <w:szCs w:val="22"/>
                <w:rtl/>
              </w:rPr>
            </w:pPr>
          </w:p>
          <w:p w:rsidRPr="001C132F" w:rsidR="00A263CE" w:rsidP="00912DB5" w:rsidRDefault="00B859C5">
            <w:pPr>
              <w:suppressLineNumbers/>
              <w:rPr>
                <w:rtl/>
              </w:rPr>
            </w:pPr>
            <w:r w:rsidRPr="001C132F">
              <w:rPr>
                <w:rFonts w:ascii="Arial" w:hAnsi="Arial"/>
                <w:noProof w:val="0"/>
                <w:rtl/>
              </w:rPr>
              <w:t xml:space="preserve">ע"י ב"כ </w:t>
            </w:r>
            <w:r w:rsidRPr="001C132F" w:rsidR="00A263CE">
              <w:rPr>
                <w:rFonts w:ascii="Arial" w:hAnsi="Arial"/>
                <w:noProof w:val="0"/>
                <w:rtl/>
              </w:rPr>
              <w:t>עוה"ד</w:t>
            </w:r>
            <w:r w:rsidRPr="001C132F" w:rsidR="00A263CE">
              <w:rPr>
                <w:rFonts w:hint="cs"/>
                <w:rtl/>
              </w:rPr>
              <w:t xml:space="preserve"> אופיר שגב וספיר דולינגר</w:t>
            </w:r>
          </w:p>
          <w:p w:rsidRPr="00A263CE" w:rsidR="0094424E" w:rsidP="00A263CE" w:rsidRDefault="00A263CE">
            <w:pPr>
              <w:suppressLineNumbers/>
              <w:rPr>
                <w:noProof w:val="0"/>
                <w:sz w:val="26"/>
                <w:szCs w:val="26"/>
              </w:rPr>
            </w:pPr>
            <w:r w:rsidRPr="001C132F">
              <w:rPr>
                <w:rFonts w:hint="cs"/>
                <w:rtl/>
              </w:rPr>
              <w:t>ממשרד עוה"ד הרצוג פוקס נאמן ושות'</w:t>
            </w:r>
          </w:p>
        </w:tc>
      </w:tr>
      <w:tr w:rsidR="0094424E">
        <w:trPr>
          <w:jc w:val="center"/>
        </w:trPr>
        <w:tc>
          <w:tcPr>
            <w:tcW w:w="8820" w:type="dxa"/>
            <w:gridSpan w:val="3"/>
          </w:tcPr>
          <w:p w:rsidRPr="00A263CE" w:rsidR="0094424E" w:rsidP="00D44968" w:rsidRDefault="0094424E">
            <w:pPr>
              <w:suppressLineNumbers/>
              <w:rPr>
                <w:rFonts w:ascii="Arial" w:hAnsi="Arial"/>
                <w:b/>
                <w:bCs/>
                <w:noProof w:val="0"/>
                <w:sz w:val="26"/>
                <w:szCs w:val="26"/>
                <w:rtl/>
              </w:rPr>
            </w:pPr>
          </w:p>
          <w:p w:rsidRPr="00A263CE" w:rsidR="0094424E" w:rsidP="00D44968" w:rsidRDefault="0094424E">
            <w:pPr>
              <w:suppressLineNumbers/>
              <w:jc w:val="center"/>
              <w:rPr>
                <w:rFonts w:ascii="Arial" w:hAnsi="Arial"/>
                <w:b/>
                <w:bCs/>
                <w:noProof w:val="0"/>
                <w:sz w:val="26"/>
                <w:szCs w:val="26"/>
                <w:rtl/>
              </w:rPr>
            </w:pPr>
            <w:r w:rsidRPr="00A263CE">
              <w:rPr>
                <w:rFonts w:ascii="Arial" w:hAnsi="Arial"/>
                <w:b/>
                <w:bCs/>
                <w:noProof w:val="0"/>
                <w:sz w:val="26"/>
                <w:szCs w:val="26"/>
                <w:rtl/>
              </w:rPr>
              <w:t>נגד</w:t>
            </w:r>
          </w:p>
          <w:p w:rsidRPr="00A263CE" w:rsidR="0094424E" w:rsidP="00D44968" w:rsidRDefault="0094424E">
            <w:pPr>
              <w:suppressLineNumbers/>
              <w:rPr>
                <w:rFonts w:ascii="Arial" w:hAnsi="Arial"/>
                <w:b/>
                <w:bCs/>
                <w:noProof w:val="0"/>
                <w:sz w:val="26"/>
                <w:szCs w:val="26"/>
              </w:rPr>
            </w:pPr>
          </w:p>
        </w:tc>
      </w:tr>
      <w:tr w:rsidR="0094424E" w:rsidTr="009E461A">
        <w:trPr>
          <w:jc w:val="center"/>
        </w:trPr>
        <w:tc>
          <w:tcPr>
            <w:tcW w:w="3249" w:type="dxa"/>
            <w:gridSpan w:val="2"/>
          </w:tcPr>
          <w:p w:rsidRPr="00A263CE" w:rsidR="0094424E" w:rsidP="009E461A" w:rsidRDefault="00EC4196">
            <w:pPr>
              <w:suppressLineNumbers/>
              <w:rPr>
                <w:rFonts w:ascii="Arial" w:hAnsi="Arial"/>
                <w:b/>
                <w:bCs/>
                <w:noProof w:val="0"/>
                <w:sz w:val="26"/>
                <w:szCs w:val="26"/>
              </w:rPr>
            </w:pPr>
            <w:sdt>
              <w:sdtPr>
                <w:rPr>
                  <w:sz w:val="26"/>
                  <w:szCs w:val="26"/>
                  <w:rtl/>
                </w:rPr>
                <w:alias w:val="1184"/>
                <w:tag w:val="1184"/>
                <w:id w:val="-340621022"/>
                <w:text w:multiLine="1"/>
              </w:sdtPr>
              <w:sdtEndPr/>
              <w:sdtContent>
                <w:r w:rsidRPr="00A263CE" w:rsidR="00C10B72">
                  <w:rPr>
                    <w:rFonts w:hint="cs" w:ascii="Arial" w:hAnsi="Arial"/>
                    <w:b/>
                    <w:bCs/>
                    <w:noProof w:val="0"/>
                    <w:sz w:val="26"/>
                    <w:szCs w:val="26"/>
                    <w:rtl/>
                  </w:rPr>
                  <w:t>ה</w:t>
                </w:r>
                <w:r w:rsidRPr="00A263CE" w:rsidR="00424313">
                  <w:rPr>
                    <w:rFonts w:ascii="Arial" w:hAnsi="Arial"/>
                    <w:b/>
                    <w:bCs/>
                    <w:noProof w:val="0"/>
                    <w:sz w:val="26"/>
                    <w:szCs w:val="26"/>
                    <w:rtl/>
                  </w:rPr>
                  <w:t>נתבעים</w:t>
                </w:r>
              </w:sdtContent>
            </w:sdt>
          </w:p>
        </w:tc>
        <w:tc>
          <w:tcPr>
            <w:tcW w:w="5571" w:type="dxa"/>
          </w:tcPr>
          <w:p w:rsidRPr="00EC3CFF" w:rsidR="00CF6BB7" w:rsidP="00C10B72" w:rsidRDefault="00EC4196">
            <w:pPr>
              <w:suppressLineNumbers/>
              <w:rPr>
                <w:sz w:val="26"/>
                <w:szCs w:val="26"/>
                <w:rtl/>
              </w:rPr>
            </w:pPr>
            <w:sdt>
              <w:sdtPr>
                <w:rPr>
                  <w:sz w:val="26"/>
                  <w:szCs w:val="26"/>
                  <w:rtl/>
                </w:rPr>
                <w:alias w:val="1571"/>
                <w:tag w:val="1571"/>
                <w:id w:val="1028836282"/>
                <w:text w:multiLine="1"/>
              </w:sdtPr>
              <w:sdtEndPr/>
              <w:sdtContent>
                <w:r w:rsidRPr="00A263CE" w:rsidR="00424313">
                  <w:rPr>
                    <w:rFonts w:ascii="Arial" w:hAnsi="Arial"/>
                    <w:b/>
                    <w:bCs/>
                    <w:noProof w:val="0"/>
                    <w:sz w:val="26"/>
                    <w:szCs w:val="26"/>
                    <w:rtl/>
                  </w:rPr>
                  <w:t>1</w:t>
                </w:r>
              </w:sdtContent>
            </w:sdt>
            <w:r w:rsidRPr="00A263CE" w:rsidR="0094424E">
              <w:rPr>
                <w:rFonts w:ascii="Arial" w:hAnsi="Arial"/>
                <w:b/>
                <w:bCs/>
                <w:noProof w:val="0"/>
                <w:sz w:val="26"/>
                <w:szCs w:val="26"/>
                <w:rtl/>
              </w:rPr>
              <w:t>.</w:t>
            </w:r>
            <w:r w:rsidRPr="00A263CE" w:rsidR="007C2453">
              <w:rPr>
                <w:rFonts w:hint="cs" w:ascii="Arial" w:hAnsi="Arial"/>
                <w:b/>
                <w:bCs/>
                <w:noProof w:val="0"/>
                <w:sz w:val="26"/>
                <w:szCs w:val="26"/>
                <w:rtl/>
              </w:rPr>
              <w:t xml:space="preserve"> </w:t>
            </w:r>
            <w:sdt>
              <w:sdtPr>
                <w:rPr>
                  <w:rFonts w:hint="cs" w:ascii="Arial" w:hAnsi="Arial"/>
                  <w:b/>
                  <w:bCs/>
                  <w:noProof w:val="0"/>
                  <w:sz w:val="26"/>
                  <w:szCs w:val="26"/>
                  <w:rtl/>
                </w:rPr>
                <w:alias w:val="3152"/>
                <w:tag w:val="3152"/>
                <w:id w:val="1920052440"/>
                <w:placeholder>
                  <w:docPart w:val="C3B0FBA23B684176B12DDEEA2C39785F"/>
                </w:placeholder>
                <w:text w:multiLine="1"/>
              </w:sdtPr>
              <w:sdtEndPr/>
              <w:sdtContent>
                <w:r w:rsidRPr="00EC3CFF" w:rsidR="00424313">
                  <w:rPr>
                    <w:rFonts w:hint="eastAsia" w:ascii="Arial" w:hAnsi="Arial"/>
                    <w:b/>
                    <w:bCs/>
                    <w:noProof w:val="0"/>
                    <w:sz w:val="26"/>
                    <w:szCs w:val="26"/>
                    <w:rtl/>
                  </w:rPr>
                  <w:t>רשות מקרקעי ישראל</w:t>
                </w:r>
              </w:sdtContent>
            </w:sdt>
            <w:r w:rsidRPr="00EC3CFF" w:rsidR="00B859C5">
              <w:rPr>
                <w:rFonts w:hint="cs"/>
                <w:sz w:val="26"/>
                <w:szCs w:val="26"/>
                <w:rtl/>
              </w:rPr>
              <w:t xml:space="preserve"> </w:t>
            </w:r>
          </w:p>
          <w:p w:rsidRPr="00EC3CFF" w:rsidR="00CF6BB7" w:rsidP="00C10B72" w:rsidRDefault="00EC4196">
            <w:pPr>
              <w:suppressLineNumbers/>
              <w:rPr>
                <w:sz w:val="26"/>
                <w:szCs w:val="26"/>
                <w:rtl/>
              </w:rPr>
            </w:pPr>
            <w:sdt>
              <w:sdtPr>
                <w:rPr>
                  <w:sz w:val="26"/>
                  <w:szCs w:val="26"/>
                  <w:rtl/>
                </w:rPr>
                <w:alias w:val="1571"/>
                <w:tag w:val="1571"/>
                <w:id w:val="1807657110"/>
                <w:text w:multiLine="1"/>
              </w:sdtPr>
              <w:sdtEndPr/>
              <w:sdtContent>
                <w:r w:rsidRPr="00EC3CFF" w:rsidR="00424313">
                  <w:rPr>
                    <w:rFonts w:ascii="Arial" w:hAnsi="Arial"/>
                    <w:b/>
                    <w:bCs/>
                    <w:noProof w:val="0"/>
                    <w:sz w:val="26"/>
                    <w:szCs w:val="26"/>
                    <w:rtl/>
                  </w:rPr>
                  <w:t>2</w:t>
                </w:r>
              </w:sdtContent>
            </w:sdt>
            <w:r w:rsidRPr="00EC3CFF" w:rsidR="0094424E">
              <w:rPr>
                <w:rFonts w:ascii="Arial" w:hAnsi="Arial"/>
                <w:b/>
                <w:bCs/>
                <w:noProof w:val="0"/>
                <w:sz w:val="26"/>
                <w:szCs w:val="26"/>
                <w:rtl/>
              </w:rPr>
              <w:t>.</w:t>
            </w:r>
            <w:r w:rsidRPr="00EC3CFF" w:rsidR="007C2453">
              <w:rPr>
                <w:rFonts w:hint="cs" w:ascii="Arial" w:hAnsi="Arial"/>
                <w:b/>
                <w:bCs/>
                <w:noProof w:val="0"/>
                <w:sz w:val="26"/>
                <w:szCs w:val="26"/>
                <w:rtl/>
              </w:rPr>
              <w:t xml:space="preserve"> </w:t>
            </w:r>
            <w:sdt>
              <w:sdtPr>
                <w:rPr>
                  <w:rFonts w:hint="cs" w:ascii="Arial" w:hAnsi="Arial"/>
                  <w:b/>
                  <w:bCs/>
                  <w:noProof w:val="0"/>
                  <w:sz w:val="26"/>
                  <w:szCs w:val="26"/>
                  <w:rtl/>
                </w:rPr>
                <w:alias w:val="3152"/>
                <w:tag w:val="3152"/>
                <w:id w:val="1143074726"/>
                <w:placeholder>
                  <w:docPart w:val="C3B0FBA23B684176B12DDEEA2C39785F"/>
                </w:placeholder>
                <w:text w:multiLine="1"/>
              </w:sdtPr>
              <w:sdtEndPr/>
              <w:sdtContent>
                <w:r w:rsidRPr="00EC3CFF" w:rsidR="00424313">
                  <w:rPr>
                    <w:rFonts w:hint="eastAsia" w:ascii="Arial" w:hAnsi="Arial"/>
                    <w:b/>
                    <w:bCs/>
                    <w:noProof w:val="0"/>
                    <w:sz w:val="26"/>
                    <w:szCs w:val="26"/>
                    <w:rtl/>
                  </w:rPr>
                  <w:t>מדינת ישראל</w:t>
                </w:r>
              </w:sdtContent>
            </w:sdt>
            <w:r w:rsidRPr="00EC3CFF" w:rsidR="00B859C5">
              <w:rPr>
                <w:rFonts w:hint="cs"/>
                <w:sz w:val="26"/>
                <w:szCs w:val="26"/>
                <w:rtl/>
              </w:rPr>
              <w:t xml:space="preserve"> </w:t>
            </w:r>
          </w:p>
          <w:p w:rsidRPr="001C132F" w:rsidR="001E4CD2" w:rsidP="00912DB5" w:rsidRDefault="00EC4196">
            <w:pPr>
              <w:suppressLineNumbers/>
            </w:pPr>
            <w:sdt>
              <w:sdtPr>
                <w:rPr>
                  <w:sz w:val="26"/>
                  <w:szCs w:val="26"/>
                  <w:rtl/>
                </w:rPr>
                <w:alias w:val="1571"/>
                <w:tag w:val="1571"/>
                <w:id w:val="148557178"/>
                <w:text w:multiLine="1"/>
              </w:sdtPr>
              <w:sdtEndPr/>
              <w:sdtContent>
                <w:r w:rsidRPr="00EC3CFF" w:rsidR="00424313">
                  <w:rPr>
                    <w:rFonts w:ascii="Arial" w:hAnsi="Arial"/>
                    <w:b/>
                    <w:bCs/>
                    <w:noProof w:val="0"/>
                    <w:sz w:val="26"/>
                    <w:szCs w:val="26"/>
                    <w:rtl/>
                  </w:rPr>
                  <w:t>3</w:t>
                </w:r>
              </w:sdtContent>
            </w:sdt>
            <w:r w:rsidRPr="00EC3CFF" w:rsidR="0094424E">
              <w:rPr>
                <w:rFonts w:ascii="Arial" w:hAnsi="Arial"/>
                <w:b/>
                <w:bCs/>
                <w:noProof w:val="0"/>
                <w:sz w:val="26"/>
                <w:szCs w:val="26"/>
                <w:rtl/>
              </w:rPr>
              <w:t>.</w:t>
            </w:r>
            <w:r w:rsidRPr="00EC3CFF" w:rsidR="007C2453">
              <w:rPr>
                <w:rFonts w:hint="cs" w:ascii="Arial" w:hAnsi="Arial"/>
                <w:b/>
                <w:bCs/>
                <w:noProof w:val="0"/>
                <w:sz w:val="26"/>
                <w:szCs w:val="26"/>
                <w:rtl/>
              </w:rPr>
              <w:t xml:space="preserve"> </w:t>
            </w:r>
            <w:sdt>
              <w:sdtPr>
                <w:rPr>
                  <w:rFonts w:hint="cs" w:ascii="Arial" w:hAnsi="Arial"/>
                  <w:b/>
                  <w:bCs/>
                  <w:noProof w:val="0"/>
                  <w:sz w:val="26"/>
                  <w:szCs w:val="26"/>
                  <w:rtl/>
                </w:rPr>
                <w:alias w:val="3152"/>
                <w:tag w:val="3152"/>
                <w:id w:val="-936441384"/>
                <w:placeholder>
                  <w:docPart w:val="C3B0FBA23B684176B12DDEEA2C39785F"/>
                </w:placeholder>
                <w:text w:multiLine="1"/>
              </w:sdtPr>
              <w:sdtEndPr/>
              <w:sdtContent>
                <w:r w:rsidRPr="00EC3CFF" w:rsidR="00C10B72">
                  <w:rPr>
                    <w:rFonts w:hint="eastAsia" w:ascii="Arial" w:hAnsi="Arial"/>
                    <w:b/>
                    <w:bCs/>
                    <w:noProof w:val="0"/>
                    <w:sz w:val="26"/>
                    <w:szCs w:val="26"/>
                    <w:rtl/>
                  </w:rPr>
                  <w:t>משרד הבינוי והשיכון</w:t>
                </w:r>
                <w:r w:rsidRPr="00EC3CFF" w:rsidR="001C132F">
                  <w:rPr>
                    <w:rFonts w:ascii="Arial" w:hAnsi="Arial"/>
                    <w:b/>
                    <w:bCs/>
                    <w:noProof w:val="0"/>
                    <w:sz w:val="26"/>
                    <w:szCs w:val="26"/>
                    <w:rtl/>
                  </w:rPr>
                  <w:br/>
                </w:r>
                <w:r w:rsidRPr="00EC3CFF" w:rsidR="00C10B72">
                  <w:rPr>
                    <w:rFonts w:ascii="Arial" w:hAnsi="Arial"/>
                    <w:b/>
                    <w:bCs/>
                    <w:noProof w:val="0"/>
                    <w:sz w:val="26"/>
                    <w:szCs w:val="26"/>
                    <w:rtl/>
                  </w:rPr>
                  <w:br/>
                </w:r>
              </w:sdtContent>
            </w:sdt>
            <w:r w:rsidRPr="00165DB9" w:rsidR="00C10B72">
              <w:rPr>
                <w:rFonts w:hint="cs" w:ascii="Arial" w:hAnsi="Arial"/>
                <w:noProof w:val="0"/>
                <w:rtl/>
              </w:rPr>
              <w:t xml:space="preserve">הנתבעות 1-3 </w:t>
            </w:r>
            <w:r w:rsidRPr="00165DB9" w:rsidR="00A263CE">
              <w:rPr>
                <w:rFonts w:hint="cs"/>
                <w:rtl/>
              </w:rPr>
              <w:t xml:space="preserve">ע"י עוה"ד </w:t>
            </w:r>
            <w:r w:rsidRPr="00165DB9" w:rsidR="00165DB9">
              <w:rPr>
                <w:rFonts w:hint="cs"/>
                <w:rtl/>
              </w:rPr>
              <w:t>פזית פוני-יורמ</w:t>
            </w:r>
            <w:r w:rsidR="00912DB5">
              <w:rPr>
                <w:rFonts w:hint="cs"/>
                <w:rtl/>
              </w:rPr>
              <w:t>ן,</w:t>
            </w:r>
            <w:r w:rsidR="00165DB9">
              <w:rPr>
                <w:rFonts w:hint="cs"/>
                <w:rtl/>
              </w:rPr>
              <w:t xml:space="preserve"> </w:t>
            </w:r>
            <w:r w:rsidRPr="00165DB9" w:rsidR="00165DB9">
              <w:rPr>
                <w:rFonts w:hint="cs"/>
                <w:rtl/>
              </w:rPr>
              <w:t>זהר בר-אל ו</w:t>
            </w:r>
            <w:r w:rsidR="00912DB5">
              <w:rPr>
                <w:rFonts w:hint="cs"/>
                <w:rtl/>
              </w:rPr>
              <w:t>לירון שי</w:t>
            </w:r>
            <w:r w:rsidRPr="00165DB9" w:rsidR="00165DB9">
              <w:rPr>
                <w:rFonts w:hint="cs"/>
                <w:rtl/>
              </w:rPr>
              <w:t xml:space="preserve"> </w:t>
            </w:r>
            <w:r w:rsidRPr="00165DB9" w:rsidR="001E4CD2">
              <w:rPr>
                <w:rFonts w:hint="cs"/>
                <w:rtl/>
              </w:rPr>
              <w:t>מפרקליטות מחוז</w:t>
            </w:r>
            <w:r w:rsidRPr="001C132F" w:rsidR="001E4CD2">
              <w:rPr>
                <w:rFonts w:hint="cs"/>
                <w:rtl/>
              </w:rPr>
              <w:t xml:space="preserve"> דרום (אזרחי)</w:t>
            </w:r>
          </w:p>
          <w:p w:rsidRPr="00EC3CFF" w:rsidR="00A263CE" w:rsidP="00C10B72" w:rsidRDefault="00A263CE">
            <w:pPr>
              <w:suppressLineNumbers/>
              <w:rPr>
                <w:rtl/>
              </w:rPr>
            </w:pPr>
          </w:p>
          <w:p w:rsidRPr="00EC3CFF" w:rsidR="00C10B72" w:rsidP="00C10B72" w:rsidRDefault="00C10B72">
            <w:pPr>
              <w:suppressLineNumbers/>
              <w:rPr>
                <w:rtl/>
              </w:rPr>
            </w:pPr>
          </w:p>
          <w:p w:rsidRPr="00A263CE" w:rsidR="00CF6BB7" w:rsidP="00C10B72" w:rsidRDefault="00EC4196">
            <w:pPr>
              <w:suppressLineNumbers/>
              <w:rPr>
                <w:sz w:val="26"/>
                <w:szCs w:val="26"/>
                <w:rtl/>
              </w:rPr>
            </w:pPr>
            <w:sdt>
              <w:sdtPr>
                <w:rPr>
                  <w:sz w:val="26"/>
                  <w:szCs w:val="26"/>
                  <w:rtl/>
                </w:rPr>
                <w:alias w:val="1571"/>
                <w:tag w:val="1571"/>
                <w:id w:val="-1354725288"/>
                <w:text w:multiLine="1"/>
              </w:sdtPr>
              <w:sdtEndPr/>
              <w:sdtContent>
                <w:r w:rsidRPr="00A263CE" w:rsidR="00424313">
                  <w:rPr>
                    <w:rFonts w:ascii="Arial" w:hAnsi="Arial"/>
                    <w:b/>
                    <w:bCs/>
                    <w:noProof w:val="0"/>
                    <w:sz w:val="26"/>
                    <w:szCs w:val="26"/>
                    <w:rtl/>
                  </w:rPr>
                  <w:t>4</w:t>
                </w:r>
              </w:sdtContent>
            </w:sdt>
            <w:r w:rsidRPr="00A263CE" w:rsidR="0094424E">
              <w:rPr>
                <w:rFonts w:ascii="Arial" w:hAnsi="Arial"/>
                <w:b/>
                <w:bCs/>
                <w:noProof w:val="0"/>
                <w:sz w:val="26"/>
                <w:szCs w:val="26"/>
                <w:rtl/>
              </w:rPr>
              <w:t>.</w:t>
            </w:r>
            <w:r w:rsidRPr="00A263CE" w:rsidR="007C2453">
              <w:rPr>
                <w:rFonts w:hint="cs" w:ascii="Arial" w:hAnsi="Arial"/>
                <w:b/>
                <w:bCs/>
                <w:noProof w:val="0"/>
                <w:sz w:val="26"/>
                <w:szCs w:val="26"/>
                <w:rtl/>
              </w:rPr>
              <w:t xml:space="preserve"> </w:t>
            </w:r>
            <w:sdt>
              <w:sdtPr>
                <w:rPr>
                  <w:rFonts w:hint="cs" w:ascii="Arial" w:hAnsi="Arial"/>
                  <w:b/>
                  <w:bCs/>
                  <w:noProof w:val="0"/>
                  <w:sz w:val="26"/>
                  <w:szCs w:val="26"/>
                  <w:rtl/>
                </w:rPr>
                <w:alias w:val="3152"/>
                <w:tag w:val="3152"/>
                <w:id w:val="646328481"/>
                <w:placeholder>
                  <w:docPart w:val="C3B0FBA23B684176B12DDEEA2C39785F"/>
                </w:placeholder>
                <w:text w:multiLine="1"/>
              </w:sdtPr>
              <w:sdtEndPr/>
              <w:sdtContent>
                <w:r w:rsidRPr="00A263CE" w:rsidR="00424313">
                  <w:rPr>
                    <w:rFonts w:hint="eastAsia" w:ascii="Arial" w:hAnsi="Arial"/>
                    <w:b/>
                    <w:bCs/>
                    <w:noProof w:val="0"/>
                    <w:sz w:val="26"/>
                    <w:szCs w:val="26"/>
                    <w:rtl/>
                  </w:rPr>
                  <w:t>עיריית אשקלון</w:t>
                </w:r>
              </w:sdtContent>
            </w:sdt>
            <w:r w:rsidRPr="00A263CE" w:rsidR="00B859C5">
              <w:rPr>
                <w:rFonts w:hint="cs"/>
                <w:sz w:val="26"/>
                <w:szCs w:val="26"/>
                <w:rtl/>
              </w:rPr>
              <w:t xml:space="preserve"> </w:t>
            </w:r>
          </w:p>
          <w:p w:rsidRPr="00A263CE" w:rsidR="00C10B72" w:rsidP="007C2453" w:rsidRDefault="00EC4196">
            <w:pPr>
              <w:suppressLineNumbers/>
              <w:rPr>
                <w:rFonts w:ascii="Arial" w:hAnsi="Arial"/>
                <w:b/>
                <w:bCs/>
                <w:noProof w:val="0"/>
                <w:sz w:val="26"/>
                <w:szCs w:val="26"/>
                <w:rtl/>
              </w:rPr>
            </w:pPr>
            <w:sdt>
              <w:sdtPr>
                <w:rPr>
                  <w:sz w:val="26"/>
                  <w:szCs w:val="26"/>
                  <w:rtl/>
                </w:rPr>
                <w:alias w:val="1571"/>
                <w:tag w:val="1571"/>
                <w:id w:val="-1254363874"/>
                <w:text w:multiLine="1"/>
              </w:sdtPr>
              <w:sdtEndPr/>
              <w:sdtContent>
                <w:r w:rsidRPr="00A263CE" w:rsidR="00424313">
                  <w:rPr>
                    <w:rFonts w:ascii="Arial" w:hAnsi="Arial"/>
                    <w:b/>
                    <w:bCs/>
                    <w:noProof w:val="0"/>
                    <w:sz w:val="26"/>
                    <w:szCs w:val="26"/>
                    <w:rtl/>
                  </w:rPr>
                  <w:t>5</w:t>
                </w:r>
              </w:sdtContent>
            </w:sdt>
            <w:r w:rsidRPr="00A263CE" w:rsidR="0094424E">
              <w:rPr>
                <w:rFonts w:ascii="Arial" w:hAnsi="Arial"/>
                <w:b/>
                <w:bCs/>
                <w:noProof w:val="0"/>
                <w:sz w:val="26"/>
                <w:szCs w:val="26"/>
                <w:rtl/>
              </w:rPr>
              <w:t>.</w:t>
            </w:r>
            <w:r w:rsidRPr="00A263CE" w:rsidR="007C2453">
              <w:rPr>
                <w:rFonts w:hint="cs" w:ascii="Arial" w:hAnsi="Arial"/>
                <w:b/>
                <w:bCs/>
                <w:noProof w:val="0"/>
                <w:sz w:val="26"/>
                <w:szCs w:val="26"/>
                <w:rtl/>
              </w:rPr>
              <w:t xml:space="preserve"> </w:t>
            </w:r>
            <w:sdt>
              <w:sdtPr>
                <w:rPr>
                  <w:rFonts w:hint="cs" w:ascii="Arial" w:hAnsi="Arial"/>
                  <w:b/>
                  <w:bCs/>
                  <w:noProof w:val="0"/>
                  <w:sz w:val="26"/>
                  <w:szCs w:val="26"/>
                  <w:rtl/>
                </w:rPr>
                <w:alias w:val="3152"/>
                <w:tag w:val="3152"/>
                <w:id w:val="1953201856"/>
                <w:placeholder>
                  <w:docPart w:val="C3B0FBA23B684176B12DDEEA2C39785F"/>
                </w:placeholder>
                <w:text w:multiLine="1"/>
              </w:sdtPr>
              <w:sdtEndPr/>
              <w:sdtContent>
                <w:r w:rsidRPr="00A263CE" w:rsidR="00424313">
                  <w:rPr>
                    <w:rFonts w:hint="eastAsia" w:ascii="Arial" w:hAnsi="Arial"/>
                    <w:b/>
                    <w:bCs/>
                    <w:noProof w:val="0"/>
                    <w:sz w:val="26"/>
                    <w:szCs w:val="26"/>
                    <w:rtl/>
                  </w:rPr>
                  <w:t>החברה הכלכלית לאשקלון בע"מ</w:t>
                </w:r>
              </w:sdtContent>
            </w:sdt>
            <w:r w:rsidRPr="00A263CE" w:rsidR="00B859C5">
              <w:rPr>
                <w:rFonts w:hint="cs"/>
                <w:sz w:val="26"/>
                <w:szCs w:val="26"/>
                <w:rtl/>
              </w:rPr>
              <w:t xml:space="preserve"> </w:t>
            </w:r>
          </w:p>
          <w:p w:rsidRPr="001C132F" w:rsidR="001C132F" w:rsidP="007C2453" w:rsidRDefault="001C132F">
            <w:pPr>
              <w:suppressLineNumbers/>
              <w:rPr>
                <w:rFonts w:ascii="Arial" w:hAnsi="Arial"/>
                <w:noProof w:val="0"/>
                <w:rtl/>
              </w:rPr>
            </w:pPr>
          </w:p>
          <w:p w:rsidRPr="001C132F" w:rsidR="00CF6BB7" w:rsidP="00912DB5" w:rsidRDefault="00C10B72">
            <w:pPr>
              <w:suppressLineNumbers/>
              <w:rPr>
                <w:rtl/>
              </w:rPr>
            </w:pPr>
            <w:r w:rsidRPr="001C132F">
              <w:rPr>
                <w:rFonts w:hint="cs" w:ascii="Arial" w:hAnsi="Arial"/>
                <w:noProof w:val="0"/>
                <w:rtl/>
              </w:rPr>
              <w:t xml:space="preserve">הנתבעות 4-5 </w:t>
            </w:r>
            <w:r w:rsidRPr="001C132F" w:rsidR="00B859C5">
              <w:rPr>
                <w:rFonts w:ascii="Arial" w:hAnsi="Arial"/>
                <w:noProof w:val="0"/>
                <w:rtl/>
              </w:rPr>
              <w:t>ע"י ב"כ עוה"ד</w:t>
            </w:r>
            <w:r w:rsidRPr="001C132F" w:rsidR="00A263CE">
              <w:rPr>
                <w:rFonts w:hint="cs"/>
                <w:rtl/>
              </w:rPr>
              <w:t xml:space="preserve"> יעד גורדון ויהושוע ג'ורנו</w:t>
            </w:r>
          </w:p>
          <w:p w:rsidRPr="001C132F" w:rsidR="00A263CE" w:rsidP="007C2453" w:rsidRDefault="00A263CE">
            <w:pPr>
              <w:suppressLineNumbers/>
              <w:rPr>
                <w:rtl/>
              </w:rPr>
            </w:pPr>
            <w:r w:rsidRPr="001C132F">
              <w:rPr>
                <w:rFonts w:hint="cs"/>
                <w:rtl/>
              </w:rPr>
              <w:t>ממשרד עוה"ד גורניצקי ושות'</w:t>
            </w:r>
          </w:p>
          <w:p w:rsidRPr="00A263CE" w:rsidR="00C10B72" w:rsidP="007C2453" w:rsidRDefault="00C10B72">
            <w:pPr>
              <w:suppressLineNumbers/>
              <w:rPr>
                <w:sz w:val="26"/>
                <w:szCs w:val="26"/>
                <w:rtl/>
              </w:rPr>
            </w:pPr>
          </w:p>
          <w:p w:rsidRPr="001C132F" w:rsidR="00CF6BB7" w:rsidP="00C10B72" w:rsidRDefault="00EC4196">
            <w:pPr>
              <w:suppressLineNumbers/>
              <w:rPr>
                <w:sz w:val="25"/>
                <w:szCs w:val="25"/>
                <w:rtl/>
              </w:rPr>
            </w:pPr>
            <w:sdt>
              <w:sdtPr>
                <w:rPr>
                  <w:sz w:val="25"/>
                  <w:szCs w:val="25"/>
                  <w:rtl/>
                </w:rPr>
                <w:alias w:val="1571"/>
                <w:tag w:val="1571"/>
                <w:id w:val="1401015908"/>
                <w:text w:multiLine="1"/>
              </w:sdtPr>
              <w:sdtEndPr/>
              <w:sdtContent>
                <w:r w:rsidRPr="001C132F" w:rsidR="00424313">
                  <w:rPr>
                    <w:rFonts w:ascii="Arial" w:hAnsi="Arial"/>
                    <w:b/>
                    <w:bCs/>
                    <w:noProof w:val="0"/>
                    <w:sz w:val="25"/>
                    <w:szCs w:val="25"/>
                    <w:rtl/>
                  </w:rPr>
                  <w:t>6</w:t>
                </w:r>
              </w:sdtContent>
            </w:sdt>
            <w:r w:rsidRPr="001C132F" w:rsidR="0094424E">
              <w:rPr>
                <w:rFonts w:ascii="Arial" w:hAnsi="Arial"/>
                <w:b/>
                <w:bCs/>
                <w:noProof w:val="0"/>
                <w:sz w:val="25"/>
                <w:szCs w:val="25"/>
                <w:rtl/>
              </w:rPr>
              <w:t>.</w:t>
            </w:r>
            <w:r w:rsidRPr="001C132F" w:rsidR="007C2453">
              <w:rPr>
                <w:rFonts w:hint="cs" w:ascii="Arial" w:hAnsi="Arial"/>
                <w:b/>
                <w:bCs/>
                <w:noProof w:val="0"/>
                <w:sz w:val="25"/>
                <w:szCs w:val="25"/>
                <w:rtl/>
              </w:rPr>
              <w:t xml:space="preserve"> </w:t>
            </w:r>
            <w:sdt>
              <w:sdtPr>
                <w:rPr>
                  <w:rFonts w:hint="cs" w:ascii="Arial" w:hAnsi="Arial"/>
                  <w:b/>
                  <w:bCs/>
                  <w:noProof w:val="0"/>
                  <w:sz w:val="25"/>
                  <w:szCs w:val="25"/>
                  <w:rtl/>
                </w:rPr>
                <w:alias w:val="3152"/>
                <w:tag w:val="3152"/>
                <w:id w:val="208695809"/>
                <w:placeholder>
                  <w:docPart w:val="C3B0FBA23B684176B12DDEEA2C39785F"/>
                </w:placeholder>
                <w:text w:multiLine="1"/>
              </w:sdtPr>
              <w:sdtEndPr/>
              <w:sdtContent>
                <w:r w:rsidRPr="001C132F" w:rsidR="00C10B72">
                  <w:rPr>
                    <w:rFonts w:hint="eastAsia" w:ascii="Arial" w:hAnsi="Arial"/>
                    <w:b/>
                    <w:bCs/>
                    <w:noProof w:val="0"/>
                    <w:sz w:val="25"/>
                    <w:szCs w:val="25"/>
                    <w:rtl/>
                  </w:rPr>
                  <w:t xml:space="preserve">אור הלוי </w:t>
                </w:r>
              </w:sdtContent>
            </w:sdt>
          </w:p>
          <w:p w:rsidRPr="001C132F" w:rsidR="00CF6BB7" w:rsidP="00C10B72" w:rsidRDefault="00EC4196">
            <w:pPr>
              <w:suppressLineNumbers/>
              <w:rPr>
                <w:sz w:val="25"/>
                <w:szCs w:val="25"/>
                <w:rtl/>
              </w:rPr>
            </w:pPr>
            <w:sdt>
              <w:sdtPr>
                <w:rPr>
                  <w:sz w:val="25"/>
                  <w:szCs w:val="25"/>
                  <w:rtl/>
                </w:rPr>
                <w:alias w:val="1571"/>
                <w:tag w:val="1571"/>
                <w:id w:val="585198963"/>
                <w:text w:multiLine="1"/>
              </w:sdtPr>
              <w:sdtEndPr/>
              <w:sdtContent>
                <w:r w:rsidRPr="001C132F" w:rsidR="00424313">
                  <w:rPr>
                    <w:rFonts w:ascii="Arial" w:hAnsi="Arial"/>
                    <w:b/>
                    <w:bCs/>
                    <w:noProof w:val="0"/>
                    <w:sz w:val="25"/>
                    <w:szCs w:val="25"/>
                    <w:rtl/>
                  </w:rPr>
                  <w:t>7</w:t>
                </w:r>
              </w:sdtContent>
            </w:sdt>
            <w:r w:rsidRPr="001C132F" w:rsidR="0094424E">
              <w:rPr>
                <w:rFonts w:ascii="Arial" w:hAnsi="Arial"/>
                <w:b/>
                <w:bCs/>
                <w:noProof w:val="0"/>
                <w:sz w:val="25"/>
                <w:szCs w:val="25"/>
                <w:rtl/>
              </w:rPr>
              <w:t>.</w:t>
            </w:r>
            <w:r w:rsidRPr="001C132F" w:rsidR="007C2453">
              <w:rPr>
                <w:rFonts w:hint="cs" w:ascii="Arial" w:hAnsi="Arial"/>
                <w:b/>
                <w:bCs/>
                <w:noProof w:val="0"/>
                <w:sz w:val="25"/>
                <w:szCs w:val="25"/>
                <w:rtl/>
              </w:rPr>
              <w:t xml:space="preserve"> </w:t>
            </w:r>
            <w:sdt>
              <w:sdtPr>
                <w:rPr>
                  <w:rFonts w:hint="cs" w:ascii="Arial" w:hAnsi="Arial"/>
                  <w:b/>
                  <w:bCs/>
                  <w:noProof w:val="0"/>
                  <w:sz w:val="25"/>
                  <w:szCs w:val="25"/>
                  <w:rtl/>
                </w:rPr>
                <w:alias w:val="3152"/>
                <w:tag w:val="3152"/>
                <w:id w:val="-268468248"/>
                <w:placeholder>
                  <w:docPart w:val="C3B0FBA23B684176B12DDEEA2C39785F"/>
                </w:placeholder>
                <w:text w:multiLine="1"/>
              </w:sdtPr>
              <w:sdtEndPr/>
              <w:sdtContent>
                <w:r w:rsidRPr="001C132F" w:rsidR="00C10B72">
                  <w:rPr>
                    <w:rFonts w:hint="eastAsia" w:ascii="Arial" w:hAnsi="Arial"/>
                    <w:b/>
                    <w:bCs/>
                    <w:noProof w:val="0"/>
                    <w:sz w:val="25"/>
                    <w:szCs w:val="25"/>
                    <w:rtl/>
                  </w:rPr>
                  <w:t xml:space="preserve">דניאל רבינוביץ </w:t>
                </w:r>
              </w:sdtContent>
            </w:sdt>
            <w:r w:rsidRPr="001C132F" w:rsidR="00B859C5">
              <w:rPr>
                <w:rFonts w:hint="cs"/>
                <w:sz w:val="25"/>
                <w:szCs w:val="25"/>
                <w:rtl/>
              </w:rPr>
              <w:t xml:space="preserve"> </w:t>
            </w:r>
          </w:p>
          <w:p w:rsidRPr="001C132F" w:rsidR="00CF6BB7" w:rsidP="00A263CE" w:rsidRDefault="00EC4196">
            <w:pPr>
              <w:suppressLineNumbers/>
              <w:rPr>
                <w:sz w:val="25"/>
                <w:szCs w:val="25"/>
                <w:rtl/>
              </w:rPr>
            </w:pPr>
            <w:sdt>
              <w:sdtPr>
                <w:rPr>
                  <w:sz w:val="25"/>
                  <w:szCs w:val="25"/>
                  <w:rtl/>
                </w:rPr>
                <w:alias w:val="1571"/>
                <w:tag w:val="1571"/>
                <w:id w:val="-2019847253"/>
                <w:text w:multiLine="1"/>
              </w:sdtPr>
              <w:sdtEndPr/>
              <w:sdtContent>
                <w:r w:rsidRPr="001C132F" w:rsidR="00424313">
                  <w:rPr>
                    <w:rFonts w:ascii="Arial" w:hAnsi="Arial"/>
                    <w:b/>
                    <w:bCs/>
                    <w:noProof w:val="0"/>
                    <w:sz w:val="25"/>
                    <w:szCs w:val="25"/>
                    <w:rtl/>
                  </w:rPr>
                  <w:t>8</w:t>
                </w:r>
              </w:sdtContent>
            </w:sdt>
            <w:r w:rsidRPr="001C132F" w:rsidR="0094424E">
              <w:rPr>
                <w:rFonts w:ascii="Arial" w:hAnsi="Arial"/>
                <w:b/>
                <w:bCs/>
                <w:noProof w:val="0"/>
                <w:sz w:val="25"/>
                <w:szCs w:val="25"/>
                <w:rtl/>
              </w:rPr>
              <w:t>.</w:t>
            </w:r>
            <w:r w:rsidRPr="001C132F" w:rsidR="007C2453">
              <w:rPr>
                <w:rFonts w:hint="cs" w:ascii="Arial" w:hAnsi="Arial"/>
                <w:b/>
                <w:bCs/>
                <w:noProof w:val="0"/>
                <w:sz w:val="25"/>
                <w:szCs w:val="25"/>
                <w:rtl/>
              </w:rPr>
              <w:t xml:space="preserve"> </w:t>
            </w:r>
            <w:sdt>
              <w:sdtPr>
                <w:rPr>
                  <w:rFonts w:hint="cs" w:ascii="Arial" w:hAnsi="Arial"/>
                  <w:b/>
                  <w:bCs/>
                  <w:noProof w:val="0"/>
                  <w:sz w:val="25"/>
                  <w:szCs w:val="25"/>
                  <w:rtl/>
                </w:rPr>
                <w:alias w:val="3152"/>
                <w:tag w:val="3152"/>
                <w:id w:val="-1337535959"/>
                <w:placeholder>
                  <w:docPart w:val="C3B0FBA23B684176B12DDEEA2C39785F"/>
                </w:placeholder>
                <w:text w:multiLine="1"/>
              </w:sdtPr>
              <w:sdtEndPr/>
              <w:sdtContent>
                <w:r w:rsidRPr="001C132F" w:rsidR="00A263CE">
                  <w:rPr>
                    <w:rFonts w:hint="eastAsia" w:ascii="Arial" w:hAnsi="Arial"/>
                    <w:b/>
                    <w:bCs/>
                    <w:noProof w:val="0"/>
                    <w:sz w:val="25"/>
                    <w:szCs w:val="25"/>
                    <w:rtl/>
                  </w:rPr>
                  <w:t xml:space="preserve">ליחי מכלוף </w:t>
                </w:r>
              </w:sdtContent>
            </w:sdt>
            <w:r w:rsidRPr="001C132F" w:rsidR="00B859C5">
              <w:rPr>
                <w:rFonts w:hint="cs"/>
                <w:sz w:val="25"/>
                <w:szCs w:val="25"/>
                <w:rtl/>
              </w:rPr>
              <w:t xml:space="preserve"> </w:t>
            </w:r>
          </w:p>
          <w:p w:rsidRPr="001C132F" w:rsidR="00CF6BB7" w:rsidP="00A263CE" w:rsidRDefault="00EC4196">
            <w:pPr>
              <w:suppressLineNumbers/>
              <w:rPr>
                <w:sz w:val="25"/>
                <w:szCs w:val="25"/>
                <w:rtl/>
              </w:rPr>
            </w:pPr>
            <w:sdt>
              <w:sdtPr>
                <w:rPr>
                  <w:sz w:val="25"/>
                  <w:szCs w:val="25"/>
                  <w:rtl/>
                </w:rPr>
                <w:alias w:val="1571"/>
                <w:tag w:val="1571"/>
                <w:id w:val="1438717566"/>
                <w:text w:multiLine="1"/>
              </w:sdtPr>
              <w:sdtEndPr/>
              <w:sdtContent>
                <w:r w:rsidRPr="001C132F" w:rsidR="00424313">
                  <w:rPr>
                    <w:rFonts w:ascii="Arial" w:hAnsi="Arial"/>
                    <w:b/>
                    <w:bCs/>
                    <w:noProof w:val="0"/>
                    <w:sz w:val="25"/>
                    <w:szCs w:val="25"/>
                    <w:rtl/>
                  </w:rPr>
                  <w:t>9</w:t>
                </w:r>
              </w:sdtContent>
            </w:sdt>
            <w:r w:rsidRPr="001C132F" w:rsidR="0094424E">
              <w:rPr>
                <w:rFonts w:ascii="Arial" w:hAnsi="Arial"/>
                <w:b/>
                <w:bCs/>
                <w:noProof w:val="0"/>
                <w:sz w:val="25"/>
                <w:szCs w:val="25"/>
                <w:rtl/>
              </w:rPr>
              <w:t>.</w:t>
            </w:r>
            <w:r w:rsidRPr="001C132F" w:rsidR="007C2453">
              <w:rPr>
                <w:rFonts w:hint="cs" w:ascii="Arial" w:hAnsi="Arial"/>
                <w:b/>
                <w:bCs/>
                <w:noProof w:val="0"/>
                <w:sz w:val="25"/>
                <w:szCs w:val="25"/>
                <w:rtl/>
              </w:rPr>
              <w:t xml:space="preserve"> </w:t>
            </w:r>
            <w:sdt>
              <w:sdtPr>
                <w:rPr>
                  <w:rFonts w:hint="cs" w:ascii="Arial" w:hAnsi="Arial"/>
                  <w:b/>
                  <w:bCs/>
                  <w:noProof w:val="0"/>
                  <w:sz w:val="25"/>
                  <w:szCs w:val="25"/>
                  <w:rtl/>
                </w:rPr>
                <w:alias w:val="3152"/>
                <w:tag w:val="3152"/>
                <w:id w:val="-828134514"/>
                <w:placeholder>
                  <w:docPart w:val="C3B0FBA23B684176B12DDEEA2C39785F"/>
                </w:placeholder>
                <w:text w:multiLine="1"/>
              </w:sdtPr>
              <w:sdtEndPr/>
              <w:sdtContent>
                <w:r w:rsidRPr="001C132F" w:rsidR="00A263CE">
                  <w:rPr>
                    <w:rFonts w:hint="eastAsia" w:ascii="Arial" w:hAnsi="Arial"/>
                    <w:b/>
                    <w:bCs/>
                    <w:noProof w:val="0"/>
                    <w:sz w:val="25"/>
                    <w:szCs w:val="25"/>
                    <w:rtl/>
                  </w:rPr>
                  <w:t xml:space="preserve">יאיר וייס </w:t>
                </w:r>
              </w:sdtContent>
            </w:sdt>
            <w:r w:rsidRPr="001C132F" w:rsidR="00B859C5">
              <w:rPr>
                <w:rFonts w:hint="cs"/>
                <w:sz w:val="25"/>
                <w:szCs w:val="25"/>
                <w:rtl/>
              </w:rPr>
              <w:t xml:space="preserve"> </w:t>
            </w:r>
          </w:p>
          <w:p w:rsidRPr="001C132F" w:rsidR="00CF6BB7" w:rsidP="00A263CE" w:rsidRDefault="00EC4196">
            <w:pPr>
              <w:suppressLineNumbers/>
              <w:rPr>
                <w:sz w:val="25"/>
                <w:szCs w:val="25"/>
                <w:rtl/>
              </w:rPr>
            </w:pPr>
            <w:sdt>
              <w:sdtPr>
                <w:rPr>
                  <w:sz w:val="25"/>
                  <w:szCs w:val="25"/>
                  <w:rtl/>
                </w:rPr>
                <w:alias w:val="1571"/>
                <w:tag w:val="1571"/>
                <w:id w:val="706063640"/>
                <w:text w:multiLine="1"/>
              </w:sdtPr>
              <w:sdtEndPr/>
              <w:sdtContent>
                <w:r w:rsidRPr="001C132F" w:rsidR="00424313">
                  <w:rPr>
                    <w:rFonts w:ascii="Arial" w:hAnsi="Arial"/>
                    <w:b/>
                    <w:bCs/>
                    <w:noProof w:val="0"/>
                    <w:sz w:val="25"/>
                    <w:szCs w:val="25"/>
                    <w:rtl/>
                  </w:rPr>
                  <w:t>10</w:t>
                </w:r>
              </w:sdtContent>
            </w:sdt>
            <w:r w:rsidRPr="001C132F" w:rsidR="0094424E">
              <w:rPr>
                <w:rFonts w:ascii="Arial" w:hAnsi="Arial"/>
                <w:b/>
                <w:bCs/>
                <w:noProof w:val="0"/>
                <w:sz w:val="25"/>
                <w:szCs w:val="25"/>
                <w:rtl/>
              </w:rPr>
              <w:t>.</w:t>
            </w:r>
            <w:r w:rsidRPr="001C132F" w:rsidR="007C2453">
              <w:rPr>
                <w:rFonts w:hint="cs" w:ascii="Arial" w:hAnsi="Arial"/>
                <w:b/>
                <w:bCs/>
                <w:noProof w:val="0"/>
                <w:sz w:val="25"/>
                <w:szCs w:val="25"/>
                <w:rtl/>
              </w:rPr>
              <w:t xml:space="preserve"> </w:t>
            </w:r>
            <w:sdt>
              <w:sdtPr>
                <w:rPr>
                  <w:rFonts w:hint="cs" w:ascii="Arial" w:hAnsi="Arial"/>
                  <w:b/>
                  <w:bCs/>
                  <w:noProof w:val="0"/>
                  <w:sz w:val="25"/>
                  <w:szCs w:val="25"/>
                  <w:rtl/>
                </w:rPr>
                <w:alias w:val="3152"/>
                <w:tag w:val="3152"/>
                <w:id w:val="-227156167"/>
                <w:placeholder>
                  <w:docPart w:val="C3B0FBA23B684176B12DDEEA2C39785F"/>
                </w:placeholder>
                <w:text w:multiLine="1"/>
              </w:sdtPr>
              <w:sdtEndPr/>
              <w:sdtContent>
                <w:r w:rsidRPr="001C132F" w:rsidR="00A263CE">
                  <w:rPr>
                    <w:rFonts w:hint="eastAsia" w:ascii="Arial" w:hAnsi="Arial"/>
                    <w:b/>
                    <w:bCs/>
                    <w:noProof w:val="0"/>
                    <w:sz w:val="25"/>
                    <w:szCs w:val="25"/>
                    <w:rtl/>
                  </w:rPr>
                  <w:t xml:space="preserve">יפעת כץ </w:t>
                </w:r>
              </w:sdtContent>
            </w:sdt>
            <w:r w:rsidRPr="001C132F" w:rsidR="00B859C5">
              <w:rPr>
                <w:rFonts w:hint="cs"/>
                <w:sz w:val="25"/>
                <w:szCs w:val="25"/>
                <w:rtl/>
              </w:rPr>
              <w:t xml:space="preserve"> </w:t>
            </w:r>
          </w:p>
          <w:p w:rsidR="00CF6BB7" w:rsidP="00A263CE" w:rsidRDefault="00EC4196">
            <w:pPr>
              <w:suppressLineNumbers/>
              <w:rPr>
                <w:sz w:val="26"/>
                <w:szCs w:val="26"/>
                <w:rtl/>
              </w:rPr>
            </w:pPr>
            <w:sdt>
              <w:sdtPr>
                <w:rPr>
                  <w:sz w:val="25"/>
                  <w:szCs w:val="25"/>
                  <w:rtl/>
                </w:rPr>
                <w:alias w:val="1571"/>
                <w:tag w:val="1571"/>
                <w:id w:val="2136442383"/>
                <w:text w:multiLine="1"/>
              </w:sdtPr>
              <w:sdtEndPr/>
              <w:sdtContent>
                <w:r w:rsidRPr="001C132F" w:rsidR="00424313">
                  <w:rPr>
                    <w:rFonts w:ascii="Arial" w:hAnsi="Arial"/>
                    <w:b/>
                    <w:bCs/>
                    <w:noProof w:val="0"/>
                    <w:sz w:val="25"/>
                    <w:szCs w:val="25"/>
                    <w:rtl/>
                  </w:rPr>
                  <w:t>11</w:t>
                </w:r>
              </w:sdtContent>
            </w:sdt>
            <w:r w:rsidRPr="001C132F" w:rsidR="0094424E">
              <w:rPr>
                <w:rFonts w:ascii="Arial" w:hAnsi="Arial"/>
                <w:b/>
                <w:bCs/>
                <w:noProof w:val="0"/>
                <w:sz w:val="25"/>
                <w:szCs w:val="25"/>
                <w:rtl/>
              </w:rPr>
              <w:t>.</w:t>
            </w:r>
            <w:r w:rsidRPr="001C132F" w:rsidR="007C2453">
              <w:rPr>
                <w:rFonts w:hint="cs" w:ascii="Arial" w:hAnsi="Arial"/>
                <w:b/>
                <w:bCs/>
                <w:noProof w:val="0"/>
                <w:sz w:val="25"/>
                <w:szCs w:val="25"/>
                <w:rtl/>
              </w:rPr>
              <w:t xml:space="preserve"> </w:t>
            </w:r>
            <w:sdt>
              <w:sdtPr>
                <w:rPr>
                  <w:rFonts w:hint="cs" w:ascii="Arial" w:hAnsi="Arial"/>
                  <w:b/>
                  <w:bCs/>
                  <w:noProof w:val="0"/>
                  <w:sz w:val="25"/>
                  <w:szCs w:val="25"/>
                  <w:rtl/>
                </w:rPr>
                <w:alias w:val="3152"/>
                <w:tag w:val="3152"/>
                <w:id w:val="1608321320"/>
                <w:placeholder>
                  <w:docPart w:val="C3B0FBA23B684176B12DDEEA2C39785F"/>
                </w:placeholder>
                <w:text w:multiLine="1"/>
              </w:sdtPr>
              <w:sdtEndPr/>
              <w:sdtContent>
                <w:r w:rsidRPr="001C132F" w:rsidR="00A263CE">
                  <w:rPr>
                    <w:rFonts w:hint="eastAsia" w:ascii="Arial" w:hAnsi="Arial"/>
                    <w:b/>
                    <w:bCs/>
                    <w:noProof w:val="0"/>
                    <w:sz w:val="25"/>
                    <w:szCs w:val="25"/>
                    <w:rtl/>
                  </w:rPr>
                  <w:t xml:space="preserve">שלומי צור </w:t>
                </w:r>
              </w:sdtContent>
            </w:sdt>
            <w:r w:rsidRPr="00A263CE" w:rsidR="00B859C5">
              <w:rPr>
                <w:rFonts w:hint="cs"/>
                <w:sz w:val="26"/>
                <w:szCs w:val="26"/>
                <w:rtl/>
              </w:rPr>
              <w:t xml:space="preserve"> </w:t>
            </w:r>
          </w:p>
          <w:p w:rsidRPr="001C132F" w:rsidR="001C132F" w:rsidP="00A263CE" w:rsidRDefault="001C132F">
            <w:pPr>
              <w:suppressLineNumbers/>
              <w:rPr>
                <w:sz w:val="16"/>
                <w:szCs w:val="16"/>
                <w:rtl/>
              </w:rPr>
            </w:pPr>
          </w:p>
          <w:p w:rsidRPr="001C132F" w:rsidR="00A263CE" w:rsidP="00A263CE" w:rsidRDefault="00A263CE">
            <w:pPr>
              <w:suppressLineNumbers/>
              <w:rPr>
                <w:rtl/>
              </w:rPr>
            </w:pPr>
            <w:r w:rsidRPr="001C132F">
              <w:rPr>
                <w:rFonts w:hint="cs"/>
                <w:rtl/>
              </w:rPr>
              <w:t>הנתבעים 6-11 ע"י ב"כ עוה"ד</w:t>
            </w:r>
            <w:r w:rsidRPr="001C132F" w:rsidR="001E4CD2">
              <w:rPr>
                <w:rFonts w:hint="cs"/>
                <w:rtl/>
              </w:rPr>
              <w:t xml:space="preserve"> ד"ר ירון קטן</w:t>
            </w:r>
          </w:p>
        </w:tc>
      </w:tr>
      <w:tr w:rsidR="00CF6BB7" w:rsidTr="00280865">
        <w:trPr>
          <w:jc w:val="center"/>
        </w:trPr>
        <w:tc>
          <w:tcPr>
            <w:tcW w:w="8820" w:type="dxa"/>
            <w:gridSpan w:val="3"/>
          </w:tcPr>
          <w:p w:rsidRPr="00D76CA2" w:rsidR="00CF6BB7" w:rsidP="00D44968" w:rsidRDefault="00CF6BB7">
            <w:pPr>
              <w:suppressLineNumbers/>
              <w:rPr>
                <w:sz w:val="14"/>
                <w:szCs w:val="14"/>
                <w:rtl/>
              </w:rPr>
            </w:pPr>
          </w:p>
          <w:p w:rsidR="00CF6BB7" w:rsidP="00D44968" w:rsidRDefault="00CF6BB7">
            <w:pPr>
              <w:suppressLineNumbers/>
              <w:rPr>
                <w:rtl/>
              </w:rPr>
            </w:pPr>
          </w:p>
        </w:tc>
      </w:tr>
      <w:tr w:rsidR="00CF6BB7">
        <w:trPr>
          <w:jc w:val="center"/>
        </w:trPr>
        <w:tc>
          <w:tcPr>
            <w:tcW w:w="3249" w:type="dxa"/>
            <w:gridSpan w:val="2"/>
          </w:tcPr>
          <w:p w:rsidRPr="00D76CA2" w:rsidR="00A46717" w:rsidP="00A46717" w:rsidRDefault="00A46717">
            <w:pPr>
              <w:rPr>
                <w:rFonts w:ascii="Arial" w:hAnsi="Arial"/>
                <w:b/>
                <w:bCs/>
                <w:noProof w:val="0"/>
                <w:sz w:val="16"/>
                <w:szCs w:val="16"/>
              </w:rPr>
            </w:pPr>
          </w:p>
        </w:tc>
        <w:tc>
          <w:tcPr>
            <w:tcW w:w="5571" w:type="dxa"/>
          </w:tcPr>
          <w:p w:rsidRPr="00EC3CFF" w:rsidR="00A46717" w:rsidP="00A46717" w:rsidRDefault="00A46717">
            <w:pPr>
              <w:rPr>
                <w:rFonts w:ascii="Arial" w:hAnsi="Arial"/>
                <w:b/>
                <w:bCs/>
                <w:noProof w:val="0"/>
                <w:sz w:val="20"/>
                <w:szCs w:val="20"/>
              </w:rPr>
            </w:pPr>
          </w:p>
        </w:tc>
      </w:tr>
      <w:tr w:rsidR="004C17EE" w:rsidTr="00D620FD">
        <w:trPr>
          <w:jc w:val="center"/>
        </w:trPr>
        <w:tc>
          <w:tcPr>
            <w:tcW w:w="8820" w:type="dxa"/>
            <w:gridSpan w:val="3"/>
          </w:tcPr>
          <w:p w:rsidRPr="00D76CA2" w:rsidR="00F66766" w:rsidRDefault="00F66766">
            <w:pPr>
              <w:suppressLineNumbers/>
              <w:rPr>
                <w:rFonts w:ascii="Arial" w:hAnsi="Arial"/>
                <w:b/>
                <w:bCs/>
                <w:noProof w:val="0"/>
                <w:sz w:val="20"/>
                <w:szCs w:val="20"/>
                <w:rtl/>
              </w:rPr>
            </w:pPr>
          </w:p>
        </w:tc>
      </w:tr>
      <w:tr w:rsidRPr="00DE1E7D" w:rsidR="00694556">
        <w:trPr>
          <w:jc w:val="center"/>
        </w:trPr>
        <w:tc>
          <w:tcPr>
            <w:tcW w:w="8820" w:type="dxa"/>
            <w:gridSpan w:val="3"/>
          </w:tcPr>
          <w:p w:rsidR="00694556" w:rsidRDefault="003E38C7">
            <w:pPr>
              <w:bidi w:val="0"/>
              <w:jc w:val="center"/>
              <w:rPr>
                <w:rFonts w:ascii="Arial" w:hAnsi="Arial"/>
                <w:b/>
                <w:bCs/>
                <w:noProof w:val="0"/>
                <w:sz w:val="28"/>
                <w:szCs w:val="28"/>
                <w:u w:val="single"/>
              </w:rPr>
            </w:pPr>
            <w:r>
              <w:rPr>
                <w:rFonts w:hint="cs" w:ascii="Arial" w:hAnsi="Arial"/>
                <w:b/>
                <w:bCs/>
                <w:noProof w:val="0"/>
                <w:sz w:val="28"/>
                <w:szCs w:val="28"/>
                <w:u w:val="single"/>
                <w:rtl/>
              </w:rPr>
              <w:t>פסק דין</w:t>
            </w:r>
          </w:p>
          <w:p w:rsidRPr="00D44968" w:rsidR="00D44968" w:rsidP="00D44968" w:rsidRDefault="00D44968">
            <w:pPr>
              <w:bidi w:val="0"/>
              <w:jc w:val="center"/>
              <w:rPr>
                <w:rFonts w:ascii="Arial" w:hAnsi="Arial"/>
                <w:b/>
                <w:bCs/>
                <w:noProof w:val="0"/>
                <w:sz w:val="28"/>
                <w:szCs w:val="28"/>
                <w:u w:val="single"/>
              </w:rPr>
            </w:pPr>
          </w:p>
        </w:tc>
      </w:tr>
    </w:tbl>
    <w:p w:rsidRPr="00C812D4" w:rsidR="00C812D4" w:rsidP="00751AF8" w:rsidRDefault="00C812D4">
      <w:pPr>
        <w:numPr>
          <w:ilvl w:val="0"/>
          <w:numId w:val="1"/>
        </w:numPr>
        <w:spacing w:after="240" w:line="360" w:lineRule="auto"/>
        <w:ind w:left="284" w:right="-170" w:hanging="454"/>
        <w:jc w:val="both"/>
        <w:rPr>
          <w:rFonts w:ascii="David" w:hAnsi="David" w:eastAsia="Calibri"/>
          <w:noProof w:val="0"/>
        </w:rPr>
      </w:pPr>
      <w:bookmarkStart w:name="NGCSBookmark" w:id="1"/>
      <w:bookmarkEnd w:id="1"/>
      <w:r w:rsidRPr="00C812D4">
        <w:rPr>
          <w:rFonts w:ascii="David" w:hAnsi="David" w:eastAsia="Calibri"/>
          <w:noProof w:val="0"/>
          <w:rtl/>
        </w:rPr>
        <w:t>תביעה שעניינה פרויקט מחיר למשתכן בשכונת עיר ימים באשקלון, שעיקרה למתן סעדים הצהרתיים ביחס למועד מסירת המגרש ולסוגיות הנוגעות להצמדת מחירי הדירות למדד תשומות הבנייה.</w:t>
      </w:r>
    </w:p>
    <w:p w:rsidRPr="00C812D4" w:rsidR="00C812D4" w:rsidP="008038F4" w:rsidRDefault="00C812D4">
      <w:pPr>
        <w:spacing w:after="240" w:line="360" w:lineRule="auto"/>
        <w:ind w:left="284" w:right="-170"/>
        <w:jc w:val="both"/>
        <w:rPr>
          <w:rFonts w:ascii="David" w:hAnsi="David" w:eastAsia="Calibri"/>
          <w:noProof w:val="0"/>
          <w:u w:val="single"/>
        </w:rPr>
      </w:pPr>
      <w:r w:rsidRPr="00C812D4">
        <w:rPr>
          <w:rFonts w:ascii="David" w:hAnsi="David" w:eastAsia="Calibri"/>
          <w:noProof w:val="0"/>
          <w:u w:val="single"/>
          <w:rtl/>
        </w:rPr>
        <w:t>הצדדים להליך</w:t>
      </w:r>
    </w:p>
    <w:p w:rsidRPr="00C812D4" w:rsidR="00C812D4" w:rsidP="00751AF8" w:rsidRDefault="00C812D4">
      <w:pPr>
        <w:numPr>
          <w:ilvl w:val="0"/>
          <w:numId w:val="1"/>
        </w:numPr>
        <w:spacing w:after="240" w:line="360" w:lineRule="auto"/>
        <w:ind w:left="284" w:right="-170" w:hanging="454"/>
        <w:jc w:val="both"/>
        <w:rPr>
          <w:rFonts w:ascii="David" w:hAnsi="David" w:eastAsia="Calibri"/>
          <w:noProof w:val="0"/>
        </w:rPr>
      </w:pPr>
      <w:r w:rsidRPr="00C812D4">
        <w:rPr>
          <w:rFonts w:ascii="David" w:hAnsi="David" w:eastAsia="Calibri"/>
          <w:noProof w:val="0"/>
          <w:rtl/>
        </w:rPr>
        <w:t>התובעת היא חברה קבלנית ליזמות, בנייה ופיתוח, שזכתה במכרז מחיר למשתכן לפרויקט בשכונת עיר ימים באשקלון, ביחס למגרשים 13 ו-14.</w:t>
      </w:r>
    </w:p>
    <w:p w:rsidRPr="00C812D4" w:rsidR="00C812D4" w:rsidP="0012085A" w:rsidRDefault="00C812D4">
      <w:pPr>
        <w:numPr>
          <w:ilvl w:val="0"/>
          <w:numId w:val="1"/>
        </w:numPr>
        <w:spacing w:after="240" w:line="360" w:lineRule="auto"/>
        <w:ind w:left="284" w:right="-170" w:hanging="454"/>
        <w:jc w:val="both"/>
        <w:rPr>
          <w:rFonts w:ascii="David" w:hAnsi="David" w:eastAsia="Calibri"/>
          <w:noProof w:val="0"/>
        </w:rPr>
      </w:pPr>
      <w:r w:rsidRPr="00F537DF">
        <w:rPr>
          <w:rFonts w:ascii="David" w:hAnsi="David" w:eastAsia="Calibri"/>
          <w:noProof w:val="0"/>
          <w:spacing w:val="-4"/>
          <w:rtl/>
        </w:rPr>
        <w:lastRenderedPageBreak/>
        <w:t xml:space="preserve">הנתבעת 1, רשות מקרקעי ישראל (להלן – רמ"י), הגוף הממשלתי האחראי על ניהול מקרקעי ישראל, פרסמה את המכרז בו זכתה התובעת ועמה נחתם הסכם החכירה. הנתבעת 2, מדינת ישראל, עמה נחתמו הסכמי הבנייה. הנתבע 3, משרד הבינוי והשיכון, המשרד הממשלתי האחראי על מדיניות הדיור והבינוי בישראל </w:t>
      </w:r>
      <w:r w:rsidRPr="00F537DF" w:rsidR="0012085A">
        <w:rPr>
          <w:rFonts w:hint="cs" w:ascii="David" w:hAnsi="David" w:eastAsia="Calibri"/>
          <w:noProof w:val="0"/>
          <w:spacing w:val="-4"/>
          <w:rtl/>
        </w:rPr>
        <w:t>והגוף המ</w:t>
      </w:r>
      <w:r w:rsidRPr="00F537DF">
        <w:rPr>
          <w:rFonts w:ascii="David" w:hAnsi="David" w:eastAsia="Calibri"/>
          <w:noProof w:val="0"/>
          <w:spacing w:val="-4"/>
          <w:rtl/>
        </w:rPr>
        <w:t>טפל בפרויקט מטעם המדינה. בכלל ז</w:t>
      </w:r>
      <w:r w:rsidRPr="00F537DF" w:rsidR="0012085A">
        <w:rPr>
          <w:rFonts w:hint="cs" w:ascii="David" w:hAnsi="David" w:eastAsia="Calibri"/>
          <w:noProof w:val="0"/>
          <w:spacing w:val="-4"/>
          <w:rtl/>
        </w:rPr>
        <w:t>ה</w:t>
      </w:r>
      <w:r w:rsidRPr="00F537DF">
        <w:rPr>
          <w:rFonts w:ascii="David" w:hAnsi="David" w:eastAsia="Calibri"/>
          <w:noProof w:val="0"/>
          <w:spacing w:val="-4"/>
          <w:rtl/>
        </w:rPr>
        <w:t>, משרד הבינוי והשיכון מינה מטעמו את חברת הבקרה, שפעלה בשמו ואשר תפקידה בין היתר לאשר את הסכמי המכר</w:t>
      </w:r>
      <w:r w:rsidRPr="00C812D4">
        <w:rPr>
          <w:rFonts w:ascii="David" w:hAnsi="David" w:eastAsia="Calibri"/>
          <w:noProof w:val="0"/>
          <w:rtl/>
        </w:rPr>
        <w:t>.</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הנתבעת 4, עיריית אשקלון, והנתבעת 5, החברה הכלכלית לאשקלון בע"מ (להלן – החברה הכלכלית)</w:t>
      </w:r>
      <w:r w:rsidR="00937308">
        <w:rPr>
          <w:rFonts w:hint="cs" w:ascii="David" w:hAnsi="David" w:cs="David"/>
          <w:sz w:val="24"/>
          <w:szCs w:val="24"/>
          <w:rtl/>
        </w:rPr>
        <w:t>,</w:t>
      </w:r>
      <w:r>
        <w:rPr>
          <w:rFonts w:ascii="David" w:hAnsi="David" w:cs="David"/>
          <w:sz w:val="24"/>
          <w:szCs w:val="24"/>
          <w:rtl/>
        </w:rPr>
        <w:t xml:space="preserve"> המשמשת כזרוע הביצועית של העירייה לפיתוח פרויקטים בעיר, הן צד</w:t>
      </w:r>
      <w:r w:rsidR="0012085A">
        <w:rPr>
          <w:rFonts w:hint="cs" w:ascii="David" w:hAnsi="David" w:cs="David"/>
          <w:sz w:val="24"/>
          <w:szCs w:val="24"/>
          <w:rtl/>
        </w:rPr>
        <w:t>דים</w:t>
      </w:r>
      <w:r>
        <w:rPr>
          <w:rFonts w:ascii="David" w:hAnsi="David" w:cs="David"/>
          <w:sz w:val="24"/>
          <w:szCs w:val="24"/>
          <w:rtl/>
        </w:rPr>
        <w:t xml:space="preserve"> להסכם גג עם רמ"י לעניין הקמת השכונה במסגרת פרויקט מחיר למשתכן. כמו כן, הן חתמו עם התובעת על הסכמי הפיתוח והתשתית לגבי הפרויקט.</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הנתבעים 6-11 הם חלק מרוכשי הדירות בפרויקט, שביקשו להצטרף להליך כצדדים נוספים.</w:t>
      </w:r>
    </w:p>
    <w:p w:rsidR="00C812D4" w:rsidP="008038F4"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טענות התובעת בכתב התביעה</w:t>
      </w:r>
    </w:p>
    <w:p w:rsidR="00C812D4" w:rsidP="0093730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התובעת טענה כי כתב התביעה הוגש בחוסר ברירה, בשל התנהלות אדישה וחסרת תום לב של הנתבעים, אשר </w:t>
      </w:r>
      <w:r w:rsidR="00937308">
        <w:rPr>
          <w:rFonts w:hint="cs" w:ascii="David" w:hAnsi="David" w:cs="David"/>
          <w:sz w:val="24"/>
          <w:szCs w:val="24"/>
          <w:rtl/>
        </w:rPr>
        <w:t>הפרו</w:t>
      </w:r>
      <w:r>
        <w:rPr>
          <w:rFonts w:ascii="David" w:hAnsi="David" w:cs="David"/>
          <w:sz w:val="24"/>
          <w:szCs w:val="24"/>
          <w:rtl/>
        </w:rPr>
        <w:t xml:space="preserve"> את ההסכמים שנחתמו עימם. התנהלות זו גורמת לתובעת נזקים כבדים הנאמדים במיליוני שקלים ומעמידה בסכנה את היתכנותו הכלכלית של פרויקט מחיר למשתכן במגרש 14 באשקלון.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מוקד טענותיה של התובעת בתביעה הוא בעניין מועד מסירת מגרש 14 לחזקתה. התובעת טענה כי מגרש 14 מעולם לא נמסר לה בפועל באופן מסודר ובהתאם להוראות ההסכמים. ההסכמים קבעו כי סימון גבולות המגרש יבוצע על ידי החברה הכלכלית באמצעות מודד מטעמה, וכי היזם יקבל הודעה על המועד בו יוכל לקבל את המגרש לאחר סימון גבולותיו.</w:t>
      </w:r>
    </w:p>
    <w:p w:rsidR="00C812D4" w:rsidP="0093730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נטען כי הנתבעים אינם יכולים להראות שמסרו את המגרש באופן מסודר, כולל זימון למסירה, פרוטוקול מסירה וסימון גבולות על ידי מודד. הנתבעים העלו גרסאות שונות ומתחלפות למועד מסירת המגרש (יום 16.8.2018, יום 21.6.2018 ולבסוף נטען ליום 25.12.2018), </w:t>
      </w:r>
      <w:r w:rsidR="0012085A">
        <w:rPr>
          <w:rFonts w:hint="cs" w:ascii="David" w:hAnsi="David" w:cs="David"/>
          <w:sz w:val="24"/>
          <w:szCs w:val="24"/>
          <w:rtl/>
        </w:rPr>
        <w:t>דבר ה</w:t>
      </w:r>
      <w:r>
        <w:rPr>
          <w:rFonts w:ascii="David" w:hAnsi="David" w:cs="David"/>
          <w:sz w:val="24"/>
          <w:szCs w:val="24"/>
          <w:rtl/>
        </w:rPr>
        <w:t xml:space="preserve">מעיד, לטענת התובעת, על כך שהם עצמם </w:t>
      </w:r>
      <w:r w:rsidR="00937308">
        <w:rPr>
          <w:rFonts w:hint="cs" w:ascii="David" w:hAnsi="David" w:cs="David"/>
          <w:sz w:val="24"/>
          <w:szCs w:val="24"/>
          <w:rtl/>
        </w:rPr>
        <w:t>הודו</w:t>
      </w:r>
      <w:r>
        <w:rPr>
          <w:rFonts w:ascii="David" w:hAnsi="David" w:cs="David"/>
          <w:sz w:val="24"/>
          <w:szCs w:val="24"/>
          <w:rtl/>
        </w:rPr>
        <w:t xml:space="preserve"> שלא בוצעה מסירה כנדרש.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מציינת כי במגרש היו ליקויים, לרבות הר של חול חפור שהיה על הנתבעים לפנותו, אשר מנעו מסירה תקינה.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נאלצה להביא מודד מטעמה ולקדם את הפרויקט בעצמה, ולכן יש לראות את מועד המסירה בפועל כיום 24.6.2020, מועד תחילת העבודות. הנתבעים, כאמור, העלו גרסאות שונות ומתחלפות למועד המסירה, מה שמעיד על אי-בהירות וחוסר החלטיות מצידם.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התובעת מסבירה כי מועד מסירת המגרש הינו בעל השלכה מהותית על לוחות הזמנים ו</w:t>
      </w:r>
      <w:r w:rsidR="00937308">
        <w:rPr>
          <w:rFonts w:hint="cs" w:ascii="David" w:hAnsi="David" w:cs="David"/>
          <w:sz w:val="24"/>
          <w:szCs w:val="24"/>
          <w:rtl/>
        </w:rPr>
        <w:t xml:space="preserve">על </w:t>
      </w:r>
      <w:r>
        <w:rPr>
          <w:rFonts w:ascii="David" w:hAnsi="David" w:cs="David"/>
          <w:sz w:val="24"/>
          <w:szCs w:val="24"/>
          <w:rtl/>
        </w:rPr>
        <w:t xml:space="preserve">שערוך מחירי הדירות, שכן ההסכמים קובעים הצמדה למדד תשומות הבנייה ממועד הגשת ההצעות ועד למועד חתימת חוזה המכר או 20 חודשים לאחר מסירת המגרש, המוקדם מביניהם.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בהקשר זה התובעת מפנה להוראות סעיף 3.3.10 למכרז הקובע כי מחיר דירת מחיר למשתכן יוצמד למדד תשומות הבנייה החל מהמדד הידוע במועד האחרון להגשת ההצעות (יום 16.5.2016) ועד למועד חתימת חוזה המכר, או עד למדד שיהא ידוע 20 חודשים לאחר מסירת המגרש (שלב 05), לפי המוקדם מביניהם. התובעת הסתמכה על רצף מדדים מלא ורציף ממועד זכייתה ועד למועד ביצוע התשלומים בפועל על ידי הרוכשים.</w:t>
      </w:r>
    </w:p>
    <w:p w:rsidR="00C812D4" w:rsidP="0093730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נטען כי הנתבעים, על ידי התנגדותם למועד מסירה נכון ומניעת חתימת הסכמי מכר, יצרו פער </w:t>
      </w:r>
      <w:r w:rsidR="00937308">
        <w:rPr>
          <w:rFonts w:ascii="David" w:hAnsi="David" w:cs="David"/>
          <w:sz w:val="24"/>
          <w:szCs w:val="24"/>
          <w:rtl/>
        </w:rPr>
        <w:t>זמנים שבו מחיר הדירה אינו מוצמד</w:t>
      </w:r>
      <w:r>
        <w:rPr>
          <w:rFonts w:ascii="David" w:hAnsi="David" w:cs="David"/>
          <w:sz w:val="24"/>
          <w:szCs w:val="24"/>
          <w:rtl/>
        </w:rPr>
        <w:t>. הדבר גורם לתובעת הפסדי מיליוני שקלים ומסכן את היתכנות הפרויקט, במיוחד לאור עליית מדד תשומות הבנייה בתקופה זו.</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מדגישה כי תכלית ההצמדה היא לשמור על ערך הכסף ועל ערכה הריאלי של התמורה, במיוחד בפרויקט מחיר למשתכן הכולל מגבלות שונות על מחירי הדירות. כל שינוי בדיעבד של הקצאת סיכון זה מערער לחלוטין את מערך השיקולים ופוגע אנושות בתובעת.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נטען כי בכך שהנתבעים מנעו מהתובעת להחתים רוכשים על הסכמי מכר עם הצמדה מלאה למדד, בטענה </w:t>
      </w:r>
      <w:r w:rsidR="00937308">
        <w:rPr>
          <w:rFonts w:hint="cs" w:ascii="David" w:hAnsi="David" w:cs="David"/>
          <w:sz w:val="24"/>
          <w:szCs w:val="24"/>
          <w:rtl/>
        </w:rPr>
        <w:t xml:space="preserve">מצידם </w:t>
      </w:r>
      <w:r>
        <w:rPr>
          <w:rFonts w:ascii="David" w:hAnsi="David" w:cs="David"/>
          <w:sz w:val="24"/>
          <w:szCs w:val="24"/>
          <w:rtl/>
        </w:rPr>
        <w:t>למועד מסירה מוקדם יותר, הם גרמו לכך שמחירי הדירות לא יוצמדו לתקופה משמעותית של למעלה משנתיים ימים. עלייה זו במדד תשומות הבנייה גורמת כאמור לתובעת הפסדים של מיליוני שקלים ומסכנת את היתכנות הפרויקט.</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נושא נוסף המועלה בתביעה נוגע לתיקון חקיקתי, הידוע כתיקון מס' 9 לחוק המכר (דירות), התשל"ג-1973 (להלן – חוק המכר (דירות))</w:t>
      </w:r>
      <w:r w:rsidR="00937308">
        <w:rPr>
          <w:rFonts w:hint="cs" w:ascii="David" w:hAnsi="David" w:cs="David"/>
          <w:sz w:val="24"/>
          <w:szCs w:val="24"/>
          <w:rtl/>
        </w:rPr>
        <w:t>,</w:t>
      </w:r>
      <w:r>
        <w:rPr>
          <w:rFonts w:ascii="David" w:hAnsi="David" w:cs="David"/>
          <w:sz w:val="24"/>
          <w:szCs w:val="24"/>
          <w:rtl/>
        </w:rPr>
        <w:t xml:space="preserve"> שנכנס לתוקפו ביום 7.7.2022 המגביל את הצמדת התמורה למדד תשומות הבנייה. התיקון קובע כי רק עד 40% ממחיר הדירה יכול להיות מוצמד למדד תשומות הבנייה.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התובעת, הוראות תיקון מס' 9 לחוק המכר (דירות) המגבילות את הצמדת התמורה למדד תשומות הבנייה, אינן חלות על הדירות הנותרות בפרויקט האמור שטרם נמכרו.</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טענה כי הפרויקט וההסכמים לגביו נחתמו טרם כניסת התיקון לתוקף, וכי סעיף ההצמדה לגבי 60 חוזי מכר שכבר נחתמו אושר ויושם במלואו. העיכוב בהחתמת יתר חוזי המכר חל בשל התנהלות הנתבעים.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החלת התיקון לחוק, לטענת התובעת, תפגע עוד יותר בתנאי ההצמדה ותהווה הפרה של ההסכמים, שכן התובעת הסתמכה על הצמדה מלאה בעת הגשת הצעתה למכרז. במיוחד כשהמניעה לחתימה על הסכמי המכר לפני כניסת התיקון לתוקף נבעה מהתנהלות הנתבעים. התובעת מציינת כי במועד הגשת התביעה היתה תלויה ועומדת עתירה לבג"צ נגד תחולת התיקון באופן רטרואקטיבי על פרויקטים אלו.</w:t>
      </w:r>
    </w:p>
    <w:p w:rsidRPr="00F537DF" w:rsidR="00C812D4" w:rsidP="00751AF8" w:rsidRDefault="00C812D4">
      <w:pPr>
        <w:pStyle w:val="ad"/>
        <w:numPr>
          <w:ilvl w:val="0"/>
          <w:numId w:val="1"/>
        </w:numPr>
        <w:spacing w:after="240" w:line="360" w:lineRule="auto"/>
        <w:ind w:left="284" w:right="-170" w:hanging="454"/>
        <w:contextualSpacing w:val="0"/>
        <w:jc w:val="both"/>
        <w:rPr>
          <w:rFonts w:ascii="David" w:hAnsi="David" w:cs="David"/>
          <w:spacing w:val="-4"/>
          <w:sz w:val="24"/>
          <w:szCs w:val="24"/>
        </w:rPr>
      </w:pPr>
      <w:r w:rsidRPr="00F537DF">
        <w:rPr>
          <w:rFonts w:ascii="David" w:hAnsi="David" w:cs="David"/>
          <w:spacing w:val="-4"/>
          <w:sz w:val="24"/>
          <w:szCs w:val="24"/>
          <w:rtl/>
        </w:rPr>
        <w:t xml:space="preserve">נושא נוסף המועלה בתביעה הוא ביחס למועד מסירת הדירות. התובעת טענה כי בשל הפרת ההסכמים על ידי הנתבעים והעיכובים שנגרמו, מועדי מסירת הדירות שנקבעו אינם רלוונטיים ויש לתקנם.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מבקשת לקבוע כי מועד מסירת הדירות בפרויקט יחול בתום 36 חודשים ממועד חתימת הסכמי המכר בפועל לגבי הדירות הנותרות.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נוכח הנטען בתביעה, התובעת טענה כי הנתבעים הפרו הפרה יסודית את ההסכמים במעשיהם ובמחדליהם ופעלו בחוסר תום לב בולט. בין היתר, מדובר באי-עמידה בהסכמים לעניין מועד מסירת מגרש 14, ניסיון לקבוע מועד מסירה שגוי, אי-אישור הסכמי מכר ופגיעה במחירי הדירות ובתנאי ההצמדה.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לטענת התובעת, הנתבעים הם שגרמו לעיכובים משמעותיים בפרויקט, בין היתר בשל סחבת בהליכי הרישוי ואישור מסמכי הפרויקט, וכן בשל אי מתן מענה סביר לפניות התובעת.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מציינת כי מגפת הקורונה (בתחילת 2020) היוותה אירוע של כוח עליון שתרם לעיכובים, וכי הנתבעים עצמם הודו והכירו ב</w:t>
      </w:r>
      <w:r w:rsidR="00937308">
        <w:rPr>
          <w:rFonts w:hint="cs" w:ascii="David" w:hAnsi="David" w:cs="David"/>
          <w:sz w:val="24"/>
          <w:szCs w:val="24"/>
          <w:rtl/>
        </w:rPr>
        <w:t xml:space="preserve">קיומם של </w:t>
      </w:r>
      <w:r>
        <w:rPr>
          <w:rFonts w:ascii="David" w:hAnsi="David" w:cs="David"/>
          <w:sz w:val="24"/>
          <w:szCs w:val="24"/>
          <w:rtl/>
        </w:rPr>
        <w:t>עיכובים שלא באשמת התובעת. הנתבעים מנעו חתימת הסכמי מכר וקידום הפרויקט, דבר המצדיק הארכת מועדים להצמדה ולמסירת הדירות.</w:t>
      </w:r>
    </w:p>
    <w:p w:rsidR="00C812D4" w:rsidP="0093730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התובעת מדגישה כי מדובר בחיובים שלובים – הנתבעים הפרו את התחייבויותיהם, ולכן התובעת זכאית לדחות את קיום חיוביה שלה ודורשת רצף מדדים מלא. זאת שעה שהתנהלות הנתבעים מנעה את קידום הפרויקט וחתימת הסכמי מכר, דבר המאיים על ההיתכנות הכלכלית </w:t>
      </w:r>
      <w:r w:rsidR="00937308">
        <w:rPr>
          <w:rFonts w:hint="cs" w:ascii="David" w:hAnsi="David" w:cs="David"/>
          <w:sz w:val="24"/>
          <w:szCs w:val="24"/>
          <w:rtl/>
        </w:rPr>
        <w:t>ל</w:t>
      </w:r>
      <w:r>
        <w:rPr>
          <w:rFonts w:ascii="David" w:hAnsi="David" w:cs="David"/>
          <w:sz w:val="24"/>
          <w:szCs w:val="24"/>
          <w:rtl/>
        </w:rPr>
        <w:t>ביצוע הפרויקט על ידי התובעת.</w:t>
      </w:r>
    </w:p>
    <w:p w:rsidR="00C812D4" w:rsidP="008038F4"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הסעדים שנתבעו בתביעה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בכתב התביעה עתרה התובעת למתן שורה ארוכה של סעדים כאשר הסעד העיקרי הוא, כאמור, ביחס למועד מסירת המגרש ולאופן הצמדת מחירי הדירות.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מבקשת מבית המשפט להצהיר כי מגרש 14 נמסר לידיה ביום 24.6.20, ובהתאם לכך, כי שלב הבנייה 05 חל באותו תאריך.</w:t>
      </w:r>
    </w:p>
    <w:p w:rsidR="00C812D4" w:rsidP="0012085A"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התובעת מבקשת להצהיר כי מחירי הדירות שטרם נחתמו הסכמי מכר לגביהן יוצמדו למדד תשומות הבנייה, החל מהמדד שהיה ידוע ביום 16.5.2016 ועד למדד שיה</w:t>
      </w:r>
      <w:r w:rsidR="0012085A">
        <w:rPr>
          <w:rFonts w:hint="cs" w:ascii="David" w:hAnsi="David" w:cs="David"/>
          <w:sz w:val="24"/>
          <w:szCs w:val="24"/>
          <w:rtl/>
        </w:rPr>
        <w:t>יה</w:t>
      </w:r>
      <w:r>
        <w:rPr>
          <w:rFonts w:ascii="David" w:hAnsi="David" w:cs="David"/>
          <w:sz w:val="24"/>
          <w:szCs w:val="24"/>
          <w:rtl/>
        </w:rPr>
        <w:t xml:space="preserve"> ידוע ביום חתימת הסכמי המכר בפועל. כמו כן, התובעת תהא רשאית לכלול בהסכמים הוראה לפיה מלוא מחיר הדירות הצמוד יה</w:t>
      </w:r>
      <w:r w:rsidR="0012085A">
        <w:rPr>
          <w:rFonts w:hint="cs" w:ascii="David" w:hAnsi="David" w:cs="David"/>
          <w:sz w:val="24"/>
          <w:szCs w:val="24"/>
          <w:rtl/>
        </w:rPr>
        <w:t>יה</w:t>
      </w:r>
      <w:r>
        <w:rPr>
          <w:rFonts w:ascii="David" w:hAnsi="David" w:cs="David"/>
          <w:sz w:val="24"/>
          <w:szCs w:val="24"/>
          <w:rtl/>
        </w:rPr>
        <w:t xml:space="preserve"> צמוד למדד תשומות הבנייה, החל מהמדד שיהא ידוע בעת חתימת הסכמי המכר בפועל ועד למדד שיהא ידוע בעת ביצוע תשלום בפועל על ידי הרוכשים. בנוסף, היא דורשת לחייב את הנתבעים, ביחד ולחוד, בהצמדה למדד, אם וככל שבית המשפט יקבע כי אין להחילה במסגרת הסכמי המכר במלואה או בחלקה.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כן עתרה התובעת להורות ולהצהיר כי הוראות סעיף 5ג' לחוק המכר (דירות), אשר נכנס לתוקפו ביום 7.7.22 לפי תיקון מס' 9 לחוק, אינן חלות על הדירות הנותרות ועל הסכמי המכר לגביהן.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התובעת דרשה להצהיר כי מועד מסירת הדירות בפרויקט יהיה בתום 36 חודשים ממועד חתימת הסכמי המכר בפועל.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בהקשר לכך עתרה התובעת להורות כי בהסכמי המכר לגבי הדירות הנותרות תוכנס הוראה לפיה מועד מסירת הדירות יהיה בחלוף 36 חודשים מחתימת הסכמי המכר בפועל. התובעת ביקשה לשמור על זכותה לעתור לארכות נוספות בשל התנהלות הנתבעים והימשכות ההליך, וכן לגבי דירות שכבר נחתמו לגביהן הסכמי מכר.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עוד נתבקש סעד של צו עשה, המורה לנתבעים לאשר את מועד מסירת מגרש 14 ואת הוראות הסכמי המכר לגבי הדירות הנותרות, בהתאם לסעדים המבוקשים בתביעה.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לחילופין, נתבקש בית המשפט להתיר לתובעת לבצע תיקון של מחירי הדירות הנותרות בסכום שיפצה אותה בגין נזקים שנגרמו או עלולים להיגרם בשל התנהלות הנתבעים, או להוציא את הדירות הנותרות ממתכונת מחיר למשתכן כך שיימכרו בשוק החופשי.</w:t>
      </w:r>
    </w:p>
    <w:p w:rsidR="00C812D4" w:rsidP="0012085A"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ביקשה להצהיר כי הנתבעים הפרו הפרה יסודית את הה</w:t>
      </w:r>
      <w:r w:rsidR="0012085A">
        <w:rPr>
          <w:rFonts w:ascii="David" w:hAnsi="David" w:cs="David"/>
          <w:sz w:val="24"/>
          <w:szCs w:val="24"/>
          <w:rtl/>
        </w:rPr>
        <w:t>סכמים במעשיהם ו/או במחדליהם, ול</w:t>
      </w:r>
      <w:r>
        <w:rPr>
          <w:rFonts w:ascii="David" w:hAnsi="David" w:cs="David"/>
          <w:sz w:val="24"/>
          <w:szCs w:val="24"/>
          <w:rtl/>
        </w:rPr>
        <w:t>ת</w:t>
      </w:r>
      <w:r w:rsidR="0012085A">
        <w:rPr>
          <w:rFonts w:hint="cs" w:ascii="David" w:hAnsi="David" w:cs="David"/>
          <w:sz w:val="24"/>
          <w:szCs w:val="24"/>
          <w:rtl/>
        </w:rPr>
        <w:t>ת</w:t>
      </w:r>
      <w:r>
        <w:rPr>
          <w:rFonts w:ascii="David" w:hAnsi="David" w:cs="David"/>
          <w:sz w:val="24"/>
          <w:szCs w:val="24"/>
          <w:rtl/>
        </w:rPr>
        <w:t xml:space="preserve"> כל סעד אחר ו/או נוסף שייראה נכון וצודק בעיני בית המשפט.</w:t>
      </w:r>
      <w:r>
        <w:rPr>
          <w:rFonts w:ascii="David" w:hAnsi="David" w:cs="David"/>
          <w:sz w:val="24"/>
          <w:szCs w:val="24"/>
          <w:u w:val="single"/>
          <w:rtl/>
        </w:rPr>
        <w:t xml:space="preserve">  </w:t>
      </w:r>
    </w:p>
    <w:p w:rsidR="00C812D4" w:rsidP="008038F4"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הליך הבקשה לסעדים זמניים</w:t>
      </w:r>
    </w:p>
    <w:p w:rsidR="00C812D4" w:rsidP="0093730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בד בבד עם הגשת התביעה, הגישה התובעת בקשה למתן סעדים זמניים, ובכלל זאת למתן צווים זמניים לגבי הצמדת מחירי הדירות </w:t>
      </w:r>
      <w:r w:rsidR="00937308">
        <w:rPr>
          <w:rFonts w:hint="cs" w:ascii="David" w:hAnsi="David" w:cs="David"/>
          <w:sz w:val="24"/>
          <w:szCs w:val="24"/>
          <w:rtl/>
        </w:rPr>
        <w:t>וכן</w:t>
      </w:r>
      <w:r>
        <w:rPr>
          <w:rFonts w:ascii="David" w:hAnsi="David" w:cs="David"/>
          <w:sz w:val="24"/>
          <w:szCs w:val="24"/>
          <w:rtl/>
        </w:rPr>
        <w:t xml:space="preserve"> ביחס למועד מסירת הדירות. בכלל ז</w:t>
      </w:r>
      <w:r w:rsidR="00937308">
        <w:rPr>
          <w:rFonts w:hint="cs" w:ascii="David" w:hAnsi="David" w:cs="David"/>
          <w:sz w:val="24"/>
          <w:szCs w:val="24"/>
          <w:rtl/>
        </w:rPr>
        <w:t>ה</w:t>
      </w:r>
      <w:r>
        <w:rPr>
          <w:rFonts w:ascii="David" w:hAnsi="David" w:cs="David"/>
          <w:sz w:val="24"/>
          <w:szCs w:val="24"/>
          <w:rtl/>
        </w:rPr>
        <w:t xml:space="preserve"> עתרה התובעת למתן צו זמני שיורה לנתבעים לאשר לה לכלול את ההוראות שהיא מבקשת לקבוע בהסכמי המכר עם רוכשי הדירות.</w:t>
      </w:r>
    </w:p>
    <w:p w:rsidR="00C812D4" w:rsidP="0012085A"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התובעת הסבירה בבקשתה לסעדים זמניים כי המחלוקת בין הצדדים לגבי תנאים מהותיים בהסכמי המכר (כמו התמורה ותנאי ההצמדה למדד) מונעת מהתובעת להחתים רוכשים על הסכמים לגבי הדירות הנותרות. הדבר מעכב את הפרויקט, מונע הזרמת מימון, ויוצר אי</w:t>
      </w:r>
      <w:r w:rsidR="0012085A">
        <w:rPr>
          <w:rFonts w:hint="cs" w:ascii="David" w:hAnsi="David" w:cs="David"/>
          <w:sz w:val="24"/>
          <w:szCs w:val="24"/>
          <w:rtl/>
        </w:rPr>
        <w:t xml:space="preserve"> </w:t>
      </w:r>
      <w:r>
        <w:rPr>
          <w:rFonts w:ascii="David" w:hAnsi="David" w:cs="David"/>
          <w:sz w:val="24"/>
          <w:szCs w:val="24"/>
          <w:rtl/>
        </w:rPr>
        <w:t>ודאות קשה לתובעת ולרוכשים הפוטנציאליים, ולפיכך יש דחיפות בבקשה.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ביקשה לנסות ולפתור את המחלוקות בין הצדדים באופן מי</w:t>
      </w:r>
      <w:r w:rsidR="0012085A">
        <w:rPr>
          <w:rFonts w:hint="cs" w:ascii="David" w:hAnsi="David" w:cs="David"/>
          <w:sz w:val="24"/>
          <w:szCs w:val="24"/>
          <w:rtl/>
        </w:rPr>
        <w:t>י</w:t>
      </w:r>
      <w:r>
        <w:rPr>
          <w:rFonts w:ascii="David" w:hAnsi="David" w:cs="David"/>
          <w:sz w:val="24"/>
          <w:szCs w:val="24"/>
          <w:rtl/>
        </w:rPr>
        <w:t>די, או לפחות להורות על הכנסת הוראות מתאימות להסכמי המכר שישמרו על טענות וזכויות התובעת, שאחרת הדבר עלול לייתר את התביעה ו/או לפגוע בזכויותיה.</w:t>
      </w:r>
    </w:p>
    <w:p w:rsidRPr="00F537DF" w:rsidR="00C812D4" w:rsidP="00D82D2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F537DF">
        <w:rPr>
          <w:rFonts w:ascii="David" w:hAnsi="David" w:cs="David"/>
          <w:sz w:val="24"/>
          <w:szCs w:val="24"/>
          <w:rtl/>
        </w:rPr>
        <w:t>התובעת הסבירה בבקשתה לסעדים זמניים כי אם היא תיאלץ להחתים הסכמי מכר לפי שיטת הנתבעים, הדבר עלול לגרום לנתבעים ולרוכשי הדירות לטעון שהתובעת ויתרה על טענותיה. מצב זה יקשה עליה לבוא בדרישה לרוכשים להשלים את יתרת התמורה, כולל מלוא ההצמדות המתחייבות, ועלול לסכל את התביעה כולה.</w:t>
      </w:r>
      <w:r w:rsidRPr="00F537DF" w:rsidR="00F537DF">
        <w:rPr>
          <w:rFonts w:hint="cs" w:ascii="David" w:hAnsi="David" w:cs="David"/>
          <w:sz w:val="24"/>
          <w:szCs w:val="24"/>
          <w:rtl/>
        </w:rPr>
        <w:t xml:space="preserve"> </w:t>
      </w:r>
      <w:r w:rsidRPr="00F537DF">
        <w:rPr>
          <w:rFonts w:ascii="David" w:hAnsi="David" w:cs="David"/>
          <w:sz w:val="24"/>
          <w:szCs w:val="24"/>
          <w:rtl/>
        </w:rPr>
        <w:t>נטען כי הפרויקט מעוכב בשל המחלוקות המהותיות, היעדר חתימה על הסכמי מכר עוצר את מימונו, מאריך את זמן הבנייה, ומגדיל עלויות.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בתגובתם לבקשה לסעדים זמניים טענו הנתבעים כי בבקשה נפלו פגמים וליקויים קשים המצדיקים את דחייתה על הסף. כן נטען כי יש לדחות את הבקשה גם לגופה.</w:t>
      </w:r>
    </w:p>
    <w:p w:rsidR="00C812D4" w:rsidP="0093730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בדיון שנערך ביום 11.1.2023 נדונה הבקשה למתן סעדים זמניים ובכלל ז</w:t>
      </w:r>
      <w:r w:rsidR="00937308">
        <w:rPr>
          <w:rFonts w:hint="cs" w:ascii="David" w:hAnsi="David" w:cs="David"/>
          <w:sz w:val="24"/>
          <w:szCs w:val="24"/>
          <w:rtl/>
        </w:rPr>
        <w:t>ה</w:t>
      </w:r>
      <w:r>
        <w:rPr>
          <w:rFonts w:ascii="David" w:hAnsi="David" w:cs="David"/>
          <w:sz w:val="24"/>
          <w:szCs w:val="24"/>
          <w:rtl/>
        </w:rPr>
        <w:t xml:space="preserve"> נשמעה עדותם של העדים במסגרת הליך הסעד הזמני. בתום הדיון ניתנה המלצת בית המשפט בהליך הסעד הזמני לעניין קביעת מועד מסירת המגרש. בהחלטה שניתנה בתום הדיון קבע בית המשפט (כב' השופט יעקב דנינו) כי "ככל שמהודעת המדינה יסתבר כי לא עלה בידי הצדדים להגיע להסכמות בעניין הסעד הזמני, תינתן החלטה להגשת סיכומים קצרים על ידי הצדדים".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משלא עלה בידי הצדדים לגבש הסכמה בעניין הסעד הזמני, נערך ביום 29.3.2023 דיון נוסף בהליך הבקשה לסעדים זמניים.</w:t>
      </w:r>
    </w:p>
    <w:p w:rsidR="00C812D4" w:rsidP="0093730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בתום הדיון ניתנה, בהסכמת הצדדים, החלטת בית המשפט (כב' השופט יעקב דנינו) בבקשה לסעדים זמניים, </w:t>
      </w:r>
      <w:r w:rsidR="00937308">
        <w:rPr>
          <w:rFonts w:hint="cs" w:ascii="David" w:hAnsi="David" w:cs="David"/>
          <w:sz w:val="24"/>
          <w:szCs w:val="24"/>
          <w:rtl/>
        </w:rPr>
        <w:t>במסגרתה</w:t>
      </w:r>
      <w:r>
        <w:rPr>
          <w:rFonts w:ascii="David" w:hAnsi="David" w:cs="David"/>
          <w:sz w:val="24"/>
          <w:szCs w:val="24"/>
          <w:rtl/>
        </w:rPr>
        <w:t xml:space="preserve"> ניתן תוקף להסכמת הצדדים להצעת בית המשפט לפיה "לצורך ההליך הזמני" - "מועד מסירת המגרש ייקבע לפי חודש מרץ 2020, ובהתאם לכך, ייגזרו יתר החיובים והזכויות לפי המערך החוזי והמכרזי שבין הצדדים."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הובהר כי יתר הנושאים אשר הועלו בתובענה, כגון ביחס לטענת התובעת כי נמנע ממנה לחתום על הסכמי מכר ועל כן יש לדחות את מועד חישוב ההצמדה לתאריך מאוחר אף יותר, ילובנו במסגרת התיק העיקרי.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כך גם נרשמה הודעת המדינה לפיה הסכימה אף להארכת מועד מסירת הדירות לגבי 73 יחידות הדיור שעדיין לא שווקו ולא נכרת הסכם מכר לגביהן</w:t>
      </w:r>
      <w:r w:rsidR="00937308">
        <w:rPr>
          <w:rFonts w:hint="cs" w:ascii="David" w:hAnsi="David" w:cs="David"/>
          <w:sz w:val="24"/>
          <w:szCs w:val="24"/>
          <w:rtl/>
        </w:rPr>
        <w:t>,</w:t>
      </w:r>
      <w:r>
        <w:rPr>
          <w:rFonts w:ascii="David" w:hAnsi="David" w:cs="David"/>
          <w:sz w:val="24"/>
          <w:szCs w:val="24"/>
          <w:rtl/>
        </w:rPr>
        <w:t xml:space="preserve"> ונקבע כי הדבר יקבל ביטוי במסגרת הסכמי המכר שיאושרו לחתימה, בדרך של מתן ארכה כפי ההסכמה שניתנה.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בית המשפט הדגיש בהחלטתו את הצורך בגיבוש מתווה זמני, כפי המפורט לעיל "שכן, לעת הזו נגרם לרוכשים פוטנציאליים נזק בשים לב לעובדה כי לא נחתם עימם הסכם עד הנה, על כל המשמעויות הכרוכות בכך".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בהחלטה שניתנה במסגרת הליך הסעד הזמני הובהר: "למען הסר ספק, מובהר בזאת פעם נוספת, כי החלטה זו כוחה יפה אך בעניין הסעד הזמני, וכי במסגרת התיק העיקרי יהיה בידי הצדדים לשכנע את בית המשפט בדבר צדקת טענותיהם לגופו של עניין. עם זאת, ראיתי לציין כי במסגרת הדיון הועלתה הצעה שיש להצר כי לא אומצה על ידי כלל הצדדים, שכן, אפשר כי תוצרי התיק העיקרי יניבו מסקנה עובדתית שונה מזו אשר נגלתה במסגרת הסעד הזמני, וכתוצאה מכך, הדבר עלול להשפיע על מערך הזכויות שבין הצדדים, ובפרט בכל הנוגע לרוכשים אשר עימם אמורים להיחתם הסכמי המכר. משלא קיבלו כלל הצדדים את הצעת בית המשפט כאמור, לא היה מנוס זולת מתן ההחלטה כמפורט, אך יש לקוות כי הצדדים ימשיכו להידבר מתוך מגמה לייתר אף את התיק העיקרי ואת הסיכונים הכרוכים בהמשך ניהול ההליך במתכונתו."</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כעולה מהמפורט לעיל, ההסכמה שגובשה בהליך הסעד הזמני חילצה את כלל הצדדים הנוגעים לפרויקט מהמבוי הסתום אליו נקלעו בשל המחלוקת לעניין ניסוח הסכמי המכר. המנגנון שנקבע כלל הוראה זמנית ביחס למועד מסירת המגרש, כאמור לפי חודש מרץ 2020, שלפיו ייערך חישוב ההצמדה של התמורה בהסכמי המכר שייחתמו. במסגרת זו הובהר לרוכשי הדירות, כי חישוב זה מהווה חישוב ביניים בלבד, וכי בהתאם להכרעה שעתידה להינתן בהליך בתיק זה, ייערך חישוב מחדש של התמורה בהתאם לתקופות ההצמדה שייקבעו בפסק הדין שיינתן.</w:t>
      </w:r>
    </w:p>
    <w:p w:rsidRPr="00F537DF" w:rsidR="00C812D4" w:rsidP="00751AF8" w:rsidRDefault="00C812D4">
      <w:pPr>
        <w:pStyle w:val="ad"/>
        <w:numPr>
          <w:ilvl w:val="0"/>
          <w:numId w:val="1"/>
        </w:numPr>
        <w:spacing w:after="240" w:line="360" w:lineRule="auto"/>
        <w:ind w:left="284" w:right="-170" w:hanging="454"/>
        <w:contextualSpacing w:val="0"/>
        <w:jc w:val="both"/>
        <w:rPr>
          <w:rFonts w:ascii="David" w:hAnsi="David" w:cs="David"/>
          <w:spacing w:val="-4"/>
          <w:sz w:val="24"/>
          <w:szCs w:val="24"/>
        </w:rPr>
      </w:pPr>
      <w:r w:rsidRPr="00F537DF">
        <w:rPr>
          <w:rFonts w:ascii="David" w:hAnsi="David" w:cs="David"/>
          <w:spacing w:val="-4"/>
          <w:sz w:val="24"/>
          <w:szCs w:val="24"/>
          <w:rtl/>
        </w:rPr>
        <w:t>בהמשך לכך, נחתמו חוזי המכר בין התובעת ובין רוכשי הדירות, כאשר הסכמי המכר כוללים הצמדה התואמת את מועד המסירה המוסכם לצרכי הסעד הזמני, חודש מרץ 2020, וכן הוראה ברורה ומפורשת לפיה ייערך חישוב מחדש של התמורה, בהתאם להכרעה שתינתן בפסק הדין בהליך זה.</w:t>
      </w:r>
    </w:p>
    <w:p w:rsidR="00C812D4" w:rsidP="00751AF8"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כתב התביעה המתוקן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לאחר גיבוש המתווה בסעד הזמני, פעלו כאמור הצדדים לקידום חתימת הסכמי המכר, כאשר גם בהקשר לכך התעוררו חילוקי דעות לגבי נוסח הסכמי המכר והוראות שביקשה התובעת לכלול בהם. במקביל נמשך המשא ומתן בניסיון לגיבוש הסכמות בפשרה גם לעניין ההליך העיקרי. משלא </w:t>
      </w:r>
      <w:r>
        <w:rPr>
          <w:rFonts w:ascii="David" w:hAnsi="David" w:cs="David"/>
          <w:sz w:val="24"/>
          <w:szCs w:val="24"/>
          <w:rtl/>
        </w:rPr>
        <w:lastRenderedPageBreak/>
        <w:t xml:space="preserve">גובש הסדר פשרה כולל, ועוד </w:t>
      </w:r>
      <w:r w:rsidR="008A4BFD">
        <w:rPr>
          <w:rFonts w:hint="cs" w:ascii="David" w:hAnsi="David" w:cs="David"/>
          <w:sz w:val="24"/>
          <w:szCs w:val="24"/>
          <w:rtl/>
        </w:rPr>
        <w:t>ב</w:t>
      </w:r>
      <w:r>
        <w:rPr>
          <w:rFonts w:ascii="David" w:hAnsi="David" w:cs="David"/>
          <w:sz w:val="24"/>
          <w:szCs w:val="24"/>
          <w:rtl/>
        </w:rPr>
        <w:t>טרם הוגשו כתבי ההגנה מטעם הנתבעים, הוגשה ביום 15.8.2023, בקשה מטעם התובעת לתיקון כתב התביעה.</w:t>
      </w:r>
    </w:p>
    <w:p w:rsidR="00C812D4" w:rsidP="008A4BFD"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התובעת טענה בבקשתה כי מאז הגשת כתב התביעה המקורי, התרחשו התפתחויות המצריכות עדכון של כתב התביעה. התובעת ציינה כי גם לאחר גיבוש מתווה בסעד הזמני, עדיין נוצרו פערי מדדים החל מחודש נובמבר 2021 (20 חודשים ממועד מסירת המגרש בחודש מרץ 2020 לפי מתווה הסעד הזמני). התובעת מבקשת כי בית המשפט ייקבע מי </w:t>
      </w:r>
      <w:r w:rsidR="008A4BFD">
        <w:rPr>
          <w:rFonts w:hint="cs" w:ascii="David" w:hAnsi="David" w:cs="David"/>
          <w:sz w:val="24"/>
          <w:szCs w:val="24"/>
          <w:rtl/>
        </w:rPr>
        <w:t>יישא</w:t>
      </w:r>
      <w:r>
        <w:rPr>
          <w:rFonts w:ascii="David" w:hAnsi="David" w:cs="David"/>
          <w:sz w:val="24"/>
          <w:szCs w:val="24"/>
          <w:rtl/>
        </w:rPr>
        <w:t xml:space="preserve"> באותם מדדים - הנתבעים או רוכשי הדירות.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התיקון המהותי הכלול בכתב התביעה המתוקן נוגע להוספת סעד ישיר כלפי הנתבעים. במקור, כתב התביעה ביקש להורות על הכללת הוראה מתאימה בהסכמי המכר בנוגע להצמדת מדדים. נוכח ההתפתחויות, התובעת ביקשה גם סעד חלופי, שיופנה ישירות כלפי הנתבעים, כך שניתן יהיה לחייב אותם לשאת במדדים, ככל שאלה לא יושתו במסגרת הסכמי המכר.</w:t>
      </w:r>
    </w:p>
    <w:p w:rsidR="00C812D4" w:rsidP="008A4BFD"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בהחלטה מיום 28.9.2023 התיר בית המשפט (כב' השופט דנינו) את תיקון כתב התביעה, כמבוקש. ובהמשך לכך הוגש ביום 9.10.2023 כתב התביעה המתוקן אשר כולל </w:t>
      </w:r>
      <w:r w:rsidR="008A4BFD">
        <w:rPr>
          <w:rFonts w:ascii="David" w:hAnsi="David" w:cs="David"/>
          <w:sz w:val="24"/>
          <w:szCs w:val="24"/>
          <w:rtl/>
        </w:rPr>
        <w:t xml:space="preserve">כאמור </w:t>
      </w:r>
      <w:r>
        <w:rPr>
          <w:rFonts w:ascii="David" w:hAnsi="David" w:cs="David"/>
          <w:sz w:val="24"/>
          <w:szCs w:val="24"/>
          <w:rtl/>
        </w:rPr>
        <w:t xml:space="preserve">עדכון של כתב התביעה לגבי התפתחויות שחלו לאחר הגשת התביעה וכן באופן בו כוללת התביעה גם סעד חלופי המופנה כלפי הנתבעים בכל הקשור </w:t>
      </w:r>
      <w:r w:rsidR="008A4BFD">
        <w:rPr>
          <w:rFonts w:hint="cs" w:ascii="David" w:hAnsi="David" w:cs="David"/>
          <w:sz w:val="24"/>
          <w:szCs w:val="24"/>
          <w:rtl/>
        </w:rPr>
        <w:t>ל</w:t>
      </w:r>
      <w:r>
        <w:rPr>
          <w:rFonts w:ascii="David" w:hAnsi="David" w:cs="David"/>
          <w:sz w:val="24"/>
          <w:szCs w:val="24"/>
          <w:rtl/>
        </w:rPr>
        <w:t>נשיאה במדד תשומות הבנייה, ככל שלא תתקבל העתירה המרכזית לכלול בהסכמי המכר הצמדה רציפה ומלאה למדד תשומות הבנייה, החל מהמדד שהיה ידוע ביום 16.5.2016 ועד למדד הידוע ביום חתימת הסכמי המכר בפועל.</w:t>
      </w:r>
    </w:p>
    <w:p w:rsidR="00C812D4" w:rsidP="00751AF8"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טענות המדינה, רמ"י ומשרד השיכון (נתבעות 1-3) בכתב ההגנה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בכתב ההגנה מטעם הנתבעות 1-3 לכתב התביעה המתוקן נטען כי טענות התובעת נגד המדינה הן חסרות יסוד, ובית המשפט נתבקש לדחות את התביעה על הסף או לגופה.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בפתח כתב ההגנה צוין כי למען הזהירות, המדינה מגישה הודעה לצדדים שלישיים נגד עיריית אשקלון והחברה הכלכלית. זאת, מכיוון שאם תחול אחריות כלשהי בגין הנזקים הנטענים והמוכחשים, הרי שהיא מוטלת במלואה על העירייה והחברה הכלכלית, שהיו אמונות על פיתוח התשתיות ומסירת המגרש.</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הנתבעות 1-3 טענו בכתב ההגנה כי הסעדים הכספיים שנוספו בתביעה המתוקנת, ובפרט הדרישה לחייב את הנתבעות בהצמדה למדד, הם למעשה סעדים כספיים הניתנים לכימות, והתובעת צריכה לשלם אגרה כדין בגינם או למחוק אותם.</w:t>
      </w:r>
    </w:p>
    <w:p w:rsidR="00C812D4" w:rsidP="008A4BFD"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נטען כי אין כל קשר סיבתי בין אי</w:t>
      </w:r>
      <w:r w:rsidR="008A4BFD">
        <w:rPr>
          <w:rFonts w:hint="cs" w:ascii="David" w:hAnsi="David" w:cs="David"/>
          <w:sz w:val="24"/>
          <w:szCs w:val="24"/>
          <w:rtl/>
        </w:rPr>
        <w:t xml:space="preserve"> </w:t>
      </w:r>
      <w:r>
        <w:rPr>
          <w:rFonts w:ascii="David" w:hAnsi="David" w:cs="David"/>
          <w:sz w:val="24"/>
          <w:szCs w:val="24"/>
          <w:rtl/>
        </w:rPr>
        <w:t>בהירות נטענת ביחס למועד מסירת המגרש ובין הנזקים הנטענים והמוכחשים של התובעת. המחלוקת ביחס למועד מסירת המגרש קמה כבר ביום 21.6.2018, ולכל המאוחר בדצמבר 2018, אך התובעת התריעה על כך רק בחודש אוגוסט 2021.</w:t>
      </w:r>
    </w:p>
    <w:p w:rsidRPr="00F537DF" w:rsidR="00C812D4" w:rsidP="00751AF8" w:rsidRDefault="00C812D4">
      <w:pPr>
        <w:pStyle w:val="ad"/>
        <w:numPr>
          <w:ilvl w:val="0"/>
          <w:numId w:val="1"/>
        </w:numPr>
        <w:spacing w:after="240" w:line="360" w:lineRule="auto"/>
        <w:ind w:left="284" w:right="-170" w:hanging="454"/>
        <w:contextualSpacing w:val="0"/>
        <w:jc w:val="both"/>
        <w:rPr>
          <w:rFonts w:ascii="David" w:hAnsi="David" w:cs="David"/>
          <w:spacing w:val="-2"/>
          <w:sz w:val="24"/>
          <w:szCs w:val="24"/>
        </w:rPr>
      </w:pPr>
      <w:r w:rsidRPr="00F537DF">
        <w:rPr>
          <w:rFonts w:ascii="David" w:hAnsi="David" w:cs="David"/>
          <w:spacing w:val="-2"/>
          <w:sz w:val="24"/>
          <w:szCs w:val="24"/>
          <w:rtl/>
        </w:rPr>
        <w:t>עוד נטען כי התובעת יכלה לכרות הסכמי מכר, ואף עשתה זאת באוגוסט 2020 עבור 60 יחידות דיור מתוך 133 היחידות, מבלי שהעלתה טענה בנוגע למסירת המגרש. בפועל, המגרש נמסר לתובעת כבר בדצמבר 2018, ולא הייתה כל מניעה מבחינת התובעת להתקדם בתכנון ולכרות הסכמים.</w:t>
      </w:r>
    </w:p>
    <w:p w:rsidR="00C812D4" w:rsidP="008A4BFD"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לטענת הנתבעות 1-3, התובעת כבר הודתה בעבר כי המניעה לכרות הסכמי מכר נבעה מטעמים אחרים, כמו הגדלת הדירות, ולא ממועד מסירת המגרש. התובעת עצמה סירבה פעם אחר פעם לקבל לידה את המגרש, אך במקביל התנהלה בו כבתוך שלה ופעלה להגדלת זכויות הבנייה, </w:t>
      </w:r>
      <w:r w:rsidR="008A4BFD">
        <w:rPr>
          <w:rFonts w:hint="cs" w:ascii="David" w:hAnsi="David" w:cs="David"/>
          <w:sz w:val="24"/>
          <w:szCs w:val="24"/>
          <w:rtl/>
        </w:rPr>
        <w:t>דבר</w:t>
      </w:r>
      <w:r>
        <w:rPr>
          <w:rFonts w:ascii="David" w:hAnsi="David" w:cs="David"/>
          <w:sz w:val="24"/>
          <w:szCs w:val="24"/>
          <w:rtl/>
        </w:rPr>
        <w:t xml:space="preserve"> שגרם לעיכובים בפרויקט. צוין כי התובעת לא הייתה בעלת היתר בנייה בשנים 2018-2019, והשיהוי בהוצאת היתר בנייה מוטל לפתחה.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ביחס לתיקון מס' 9 לחוק המכר (דירות), נטען כי התנהלות התובעת ביחס למועד מסירת המגרש ובקשתה להאריך את מועד מסירת הדירות הן שהביאו למצב אליו נקלעה התובעת בחודש יולי 2022, בו הדירות הנותרות נכללו בתיקון לחוק המכר (דירות). משיכת הזמן והתנהלותה של התובעת הן שגרמו לכך שהתיקון נכנס לתוקף בטרם נכרתו הסכמי מכר לגבי כל הדירות.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הנתבעות 1-3 הכחישו אחריות כלשהי מצדן לעניין התיקון לחוק המכר והשלכותיו על חוזי התובעת.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הנתבעות 1-3, הליכי התכנון המורכבים שיזמה התובעת לשם הגדלת הזכויות בפרויקט ומורכבות הבנייה במגרש היו הטעם המרכזי והמהותי ביותר לעיכובים בפרויקט, גם לטעמה של התובעת בזמן אמת. ניסיון התובעת להתעלם מעיכובים שמקורם בה עצמה ולייחסם למדינה באופן מלאכותי, דינו להידחות.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לעמדתן של הנתבעות 1-3, אין קשר סיבתי בין העיכוב הנטען במסירת המגרש ובין העיכוב בהתקדמות הפרויקט, שכן בשנים 2018 ו-2019 לתובעת כלל לא היה היתר בנייה, והשיהוי מוטל לפתחה. בהתאם להסכם התשתיות, האחריות להוצאת היתר בנייה חלה על התובעת לבדה.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ביחס לטענות התובעת לעיכוב במתן מענה לפניותיה, נטען כי תגובת הנתבעות ניתנה בתוך פרקי זמן סבירים, גם בהתחשב בצורך בעריכת בירור לגבי טענות התובעת.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 </w:t>
      </w:r>
      <w:r>
        <w:rPr>
          <w:rFonts w:hint="cs" w:ascii="David" w:hAnsi="David" w:cs="David"/>
          <w:sz w:val="24"/>
          <w:szCs w:val="24"/>
          <w:rtl/>
        </w:rPr>
        <w:t xml:space="preserve">אשר לעיכוב בחתימת הסכמי המכר, נטען כי החלטתה של התובעת להימנע מלכרות הסכמי מכר במשך שנה, תוך שהיא מבקשת ממשרד הבינוי והשיכון לשקול את ההחלטה בשנית ובשלישית, </w:t>
      </w:r>
      <w:r>
        <w:rPr>
          <w:rFonts w:hint="cs" w:ascii="David" w:hAnsi="David" w:cs="David"/>
          <w:sz w:val="24"/>
          <w:szCs w:val="24"/>
          <w:rtl/>
        </w:rPr>
        <w:lastRenderedPageBreak/>
        <w:t>מונחת לפתחה בלבד. הנתבעות 1-3 טענו כי לא היה במענה שניתן לתובעת לפניותיה, כדי למנוע מהתובעת לכרות הסכמי מכר.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לעניין הסעדים המבוקשים על ידי התובעת, הנוגעים לשינוי תנאי המכרז וביניהם הצמדת המדד, נטען כי אלו אינם מצויים בסמכות בית המשפט המחוזי אלא בסמכות בית המשפט לעניינים מנהליים, וממילא נגועים בשיהוי.</w:t>
      </w:r>
    </w:p>
    <w:p w:rsidR="00C812D4" w:rsidP="008A4BFD"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לעמדת הנתבעות 1-3, יש לדחות ניסיונה של התובעת להשיא את רווחיה על חשבון קופת הציבור, בניגוד </w:t>
      </w:r>
      <w:r w:rsidR="008A4BFD">
        <w:rPr>
          <w:rFonts w:hint="cs" w:ascii="David" w:hAnsi="David" w:cs="David"/>
          <w:sz w:val="24"/>
          <w:szCs w:val="24"/>
          <w:rtl/>
        </w:rPr>
        <w:t>לעקרונות</w:t>
      </w:r>
      <w:r>
        <w:rPr>
          <w:rFonts w:ascii="David" w:hAnsi="David" w:cs="David"/>
          <w:sz w:val="24"/>
          <w:szCs w:val="24"/>
          <w:rtl/>
        </w:rPr>
        <w:t xml:space="preserve"> שבבסיס מכרזי מחיר למשתכן. התובעת מנסה באופן מאולץ ומלאכותי לגלגל עיכובים ומניעות שנגרמו מבחירתה ובאחריותה על קופת הציבור.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ככל שהעיכובים בפרויקט גרמו לתובעת להפסיד את רכיבי ההצמדה למדד, רובם ככולם נבעו מעיכובים שלא היו באחריות המדינה, או מכשלים המונחים לפתחה ולפתחם של אחרים.</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בהחלטה מיום 19.6.2025 נעתר בית המשפט לבקשת הנתבעות 1-3 (המדינה) לתיקון כתב ההגנה. נקבע, כי התיקון המבוקש מבוסס והוא תואם החלטות פומביות של הוועדות בנוגע להארכת מועדים ולחילוט ערבויות, ומכאן שלצד הבהרת מצב הדברים העובדתי בעניינים אלו, לא צפויה מחלוקת עובדתית באותו נושא, הנדרשת לבירור במסגרת הליך זה. נקבע כי אין מדובר בתיקון בעניין מהותי הנוגע לבירור התביעה, ומטרתו היא הבהרת העובדות כעולה מהחלטות הוועדות הרל</w:t>
      </w:r>
      <w:r w:rsidR="00D62662">
        <w:rPr>
          <w:rFonts w:hint="cs" w:ascii="David" w:hAnsi="David" w:cs="David"/>
          <w:sz w:val="24"/>
          <w:szCs w:val="24"/>
          <w:rtl/>
        </w:rPr>
        <w:t>וו</w:t>
      </w:r>
      <w:r>
        <w:rPr>
          <w:rFonts w:ascii="David" w:hAnsi="David" w:cs="David"/>
          <w:sz w:val="24"/>
          <w:szCs w:val="24"/>
          <w:rtl/>
        </w:rPr>
        <w:t>נטיות (כפי שהן בוודאי ידועות גם לתובעת).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ביום 15.7.2025 הוגש מטעם הנתבעות 1-3 כתב ההגנה המתוקן, הכולל מספר תיקונים לכתב ההגנה הנוגעים לתיאור מהלך הדברים בעניינים הנוגעים להחלטות הוועדות להארכת מועדים ולחילוט ערבויות. במסגרת התיקון, המדינה טענה כי מכתב מיום 23.8.2020, שבו הוארך שלב 06 ב-6 חודשים, נשלח לתובעת ככל הנראה בשגגה, וכי ביום 15.7.2020 הוועדה המליצה על הוצאת מכתבים לקראת חילוט ערבויות.</w:t>
      </w:r>
    </w:p>
    <w:p w:rsidR="00C812D4" w:rsidP="00751AF8"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טענות עיריית אשקלון והחברה הכלכלית (נתבעות 4-5) בכתב ההגנה</w:t>
      </w:r>
    </w:p>
    <w:p w:rsidRPr="00F537DF"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F537DF">
        <w:rPr>
          <w:rFonts w:ascii="David" w:hAnsi="David" w:cs="David"/>
          <w:sz w:val="24"/>
          <w:szCs w:val="24"/>
          <w:rtl/>
        </w:rPr>
        <w:t>לטענת הנתבעות 4-5, התביעה נועדה לאפשר לתובעת להשתחרר מחובותיה כלפי פרויקט מחיר למשתכן, לאחר שביצעה הליך תכנוני ארוך שחרג מהמועדים אליהם התחייבה, ונועד לשדרג את הפרויקט.</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נטען, כי התובעת, לאחר שנטלה לידיה מקרקעין ממשרד השיכון והבינוי, מעדיפה למכור אות</w:t>
      </w:r>
      <w:r w:rsidR="00D62662">
        <w:rPr>
          <w:rFonts w:hint="cs" w:ascii="David" w:hAnsi="David" w:cs="David"/>
          <w:sz w:val="24"/>
          <w:szCs w:val="24"/>
          <w:rtl/>
        </w:rPr>
        <w:t>ם</w:t>
      </w:r>
      <w:r>
        <w:rPr>
          <w:rFonts w:ascii="David" w:hAnsi="David" w:cs="David"/>
          <w:sz w:val="24"/>
          <w:szCs w:val="24"/>
          <w:rtl/>
        </w:rPr>
        <w:t xml:space="preserve"> בשוק החופשי ולא תחת המשקולת של פרויקט מחיר למשתכן. במקום לפעול להקטנת נזקיה </w:t>
      </w:r>
      <w:r>
        <w:rPr>
          <w:rFonts w:ascii="David" w:hAnsi="David" w:cs="David"/>
          <w:sz w:val="24"/>
          <w:szCs w:val="24"/>
          <w:rtl/>
        </w:rPr>
        <w:lastRenderedPageBreak/>
        <w:t>הנטענים על ידי מכירת כל הדירות כבר לפני שנים, התובעת העדיפה לייצר משבר מדומה שיסייע לשחרר אותה מהתחייבויותיה.</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הנתבעות 4-5, הן נגררו לתוך ההליך המשפטי על בסיס טענות הקשורות למועד מסירת המגרש, למרות שהתובעת לא פנתה אליהן כדי לקדם את מסירתו ולא הייתה מעוניינת במסירתו בפועל. החברה הכלכלית ניסתה למסור לתובעת את מגרש 14, אך התובעת לא הייתה ערוכה ולא מעוניינת במסירה פורמלית באף אחד מהמועדים שהוצעו.</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בהסכם התשתיות נקבע כי מועד מסירת המגרש יה</w:t>
      </w:r>
      <w:r w:rsidR="00D62662">
        <w:rPr>
          <w:rFonts w:hint="cs" w:ascii="David" w:hAnsi="David" w:cs="David"/>
          <w:sz w:val="24"/>
          <w:szCs w:val="24"/>
          <w:rtl/>
        </w:rPr>
        <w:t>יה</w:t>
      </w:r>
      <w:r>
        <w:rPr>
          <w:rFonts w:ascii="David" w:hAnsi="David" w:cs="David"/>
          <w:sz w:val="24"/>
          <w:szCs w:val="24"/>
          <w:rtl/>
        </w:rPr>
        <w:t xml:space="preserve"> באוגוסט 2018, וכבר אז התובעת התחייבה לקבל היתר בנייה סופי ומלא. בפועל, לא באוגוסט 2018 ו</w:t>
      </w:r>
      <w:r w:rsidR="00937308">
        <w:rPr>
          <w:rFonts w:hint="cs" w:ascii="David" w:hAnsi="David" w:cs="David"/>
          <w:sz w:val="24"/>
          <w:szCs w:val="24"/>
          <w:rtl/>
        </w:rPr>
        <w:t xml:space="preserve">גם </w:t>
      </w:r>
      <w:r>
        <w:rPr>
          <w:rFonts w:ascii="David" w:hAnsi="David" w:cs="David"/>
          <w:sz w:val="24"/>
          <w:szCs w:val="24"/>
          <w:rtl/>
        </w:rPr>
        <w:t xml:space="preserve">לא במועדים מאוחרים יותר, התובעת כלל לא הייתה קרובה לקבל היתר בנייה. לכן התובעת העדיפה שלא תתבצע מסירה </w:t>
      </w:r>
      <w:r w:rsidR="009B404C">
        <w:rPr>
          <w:rFonts w:ascii="David" w:hAnsi="David" w:cs="David"/>
          <w:sz w:val="24"/>
          <w:szCs w:val="24"/>
          <w:rtl/>
        </w:rPr>
        <w:t>פורמלי</w:t>
      </w:r>
      <w:r>
        <w:rPr>
          <w:rFonts w:ascii="David" w:hAnsi="David" w:cs="David"/>
          <w:sz w:val="24"/>
          <w:szCs w:val="24"/>
          <w:rtl/>
        </w:rPr>
        <w:t xml:space="preserve">ת, </w:t>
      </w:r>
      <w:r w:rsidR="00937308">
        <w:rPr>
          <w:rFonts w:hint="cs" w:ascii="David" w:hAnsi="David" w:cs="David"/>
          <w:sz w:val="24"/>
          <w:szCs w:val="24"/>
          <w:rtl/>
        </w:rPr>
        <w:t xml:space="preserve">זאת </w:t>
      </w:r>
      <w:r>
        <w:rPr>
          <w:rFonts w:ascii="David" w:hAnsi="David" w:cs="David"/>
          <w:sz w:val="24"/>
          <w:szCs w:val="24"/>
          <w:rtl/>
        </w:rPr>
        <w:t>מאחר שבהתאם להוראות הסכם התשתיות, מועד מסירת מגרש 14 לידי התובעת הופך את שעון החול ומחייב אותה להשלים את הפרויקט בתוך 24 חודשים. התו</w:t>
      </w:r>
      <w:r w:rsidR="00D62662">
        <w:rPr>
          <w:rFonts w:ascii="David" w:hAnsi="David" w:cs="David"/>
          <w:sz w:val="24"/>
          <w:szCs w:val="24"/>
          <w:rtl/>
        </w:rPr>
        <w:t>בעת ידעה שאילו תתבצע מסירה פורמ</w:t>
      </w:r>
      <w:r>
        <w:rPr>
          <w:rFonts w:ascii="David" w:hAnsi="David" w:cs="David"/>
          <w:sz w:val="24"/>
          <w:szCs w:val="24"/>
          <w:rtl/>
        </w:rPr>
        <w:t>לית, היא לא תעמוד במועד ההשלמה ותפר את ההסכמים.</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נטען, כי התובעת לא הייתה מעוניינת לקבל את המגרש (וממילא לא הייתה ערוכה לכך), ובחרה שלא לפעול לקבלתו באופן פורמלי, למרות שהחברה הכלכלית ניסתה לבצע לה מסירה. אילו התובעת הייתה נערכת בהתאם להתחייבויותיה, היא הייתה עומדת על קבלת המגרש גם אם הייתה בו ערימת חול.</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לגרסת הנתבעות 4-5, ביום 20.12.2018, החברה הכלכלית נערכה למסור את המגרש לתובעת, נציגי התובעת והחברה הכלכלית הגיעו למגרש וביצעו פעולות סימון, אולם התובעת סירבה לקבל את המגרשים, בטענה לערימת עפר במגרש 14. </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אין חולק לפיכך כי מגרש 14 לא נמסר לתובעת ביום 16.8.2018, אך אין לראות זאת כהפרת ההסכם מצד החברה הכלכלית, שכן התובעת הפרה את התחייבותה לקבל היתר בנייה במועד. התובעת מושתקת מלטעון כעת לאי</w:t>
      </w:r>
      <w:r w:rsidR="00D62662">
        <w:rPr>
          <w:rFonts w:hint="cs" w:ascii="David" w:hAnsi="David" w:cs="David"/>
          <w:sz w:val="24"/>
          <w:szCs w:val="24"/>
          <w:rtl/>
        </w:rPr>
        <w:t xml:space="preserve"> </w:t>
      </w:r>
      <w:r>
        <w:rPr>
          <w:rFonts w:ascii="David" w:hAnsi="David" w:cs="David"/>
          <w:sz w:val="24"/>
          <w:szCs w:val="24"/>
          <w:rtl/>
        </w:rPr>
        <w:t>עמידה במועד המסירה החוזי, שעה שלא פנתה בזמן אמת.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שתקה במשך שנים, מאחר שבעצמה הפרה את ההסכם ולא עמדה במועד לקבלת היתר בנייה, וכלל לא רצתה לקבל את המגרש. כעת היא עומדת שלא בתום לב על זכותה החוזית.</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לאחר שהתובעת לא הסכימה לקבל את המגרש במפגש במעמד המסירה מיום 20.12.2018 בשל ערימת עפר שהיתה במקום, פונתה ערימת העפר תוך מספר ימים. בחודש ינואר 2019 התובעת עלתה על המגרש בפועל והחלה לבצע קידוחים. בזמן אמת, לא הייתה כל משמעות לעובדה שלא נעשתה מסירה פורמלית, שכן נעשתה מסירה דה</w:t>
      </w:r>
      <w:r w:rsidR="00D62662">
        <w:rPr>
          <w:rFonts w:hint="cs" w:ascii="David" w:hAnsi="David" w:cs="David"/>
          <w:sz w:val="24"/>
          <w:szCs w:val="24"/>
          <w:rtl/>
        </w:rPr>
        <w:t xml:space="preserve"> </w:t>
      </w:r>
      <w:r>
        <w:rPr>
          <w:rFonts w:ascii="David" w:hAnsi="David" w:cs="David"/>
          <w:sz w:val="24"/>
          <w:szCs w:val="24"/>
          <w:rtl/>
        </w:rPr>
        <w:t>פקטו.</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מכל מקום, היעדר מסירה פורמלית לא מנע מהתובעת לנהוג במגרש מנהג בעלים. משקיבלה את סימוני המגרש ות</w:t>
      </w:r>
      <w:r w:rsidR="00937308">
        <w:rPr>
          <w:rFonts w:hint="cs" w:ascii="David" w:hAnsi="David" w:cs="David"/>
          <w:sz w:val="24"/>
          <w:szCs w:val="24"/>
          <w:rtl/>
        </w:rPr>
        <w:t>ו</w:t>
      </w:r>
      <w:r>
        <w:rPr>
          <w:rFonts w:ascii="David" w:hAnsi="David" w:cs="David"/>
          <w:sz w:val="24"/>
          <w:szCs w:val="24"/>
          <w:rtl/>
        </w:rPr>
        <w:t xml:space="preserve">כנית המדידה בדצמבר 2018, התובעת עלתה על הקרקע בינואר 2019, ביצעה קידוחים, ובהמשך גידרה את המגרש. היא לא פנתה בשום שלב לחברה הכלכלית כדי שתבוצע מסירה </w:t>
      </w:r>
      <w:r w:rsidR="009B404C">
        <w:rPr>
          <w:rFonts w:ascii="David" w:hAnsi="David" w:cs="David"/>
          <w:sz w:val="24"/>
          <w:szCs w:val="24"/>
          <w:rtl/>
        </w:rPr>
        <w:t>פורמלי</w:t>
      </w:r>
      <w:r>
        <w:rPr>
          <w:rFonts w:ascii="David" w:hAnsi="David" w:cs="David"/>
          <w:sz w:val="24"/>
          <w:szCs w:val="24"/>
          <w:rtl/>
        </w:rPr>
        <w:t>ת או אחרת.</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רק בחלוף מספר שנים החלה התובעת (באופן מפתיע) להעלות טענות בנוגע להליך מסירה טכני ופורמלי. מדובר בטענות טקטיות שנועדו לשרת את התובעת בהיבטים אחרים והן עמדו בניגוד להתנהלות התובעת בשטח.</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העובדות מלמדות שדה</w:t>
      </w:r>
      <w:r w:rsidR="00D62662">
        <w:rPr>
          <w:rFonts w:hint="cs" w:ascii="David" w:hAnsi="David" w:cs="David"/>
          <w:sz w:val="24"/>
          <w:szCs w:val="24"/>
          <w:rtl/>
        </w:rPr>
        <w:t xml:space="preserve"> </w:t>
      </w:r>
      <w:r>
        <w:rPr>
          <w:rFonts w:ascii="David" w:hAnsi="David" w:cs="David"/>
          <w:sz w:val="24"/>
          <w:szCs w:val="24"/>
          <w:rtl/>
        </w:rPr>
        <w:t xml:space="preserve">פקטו המגרש עבר לחזקת התובעת בינואר 2019, ובמשך שלוש שנים התובעת לא הלינה על היעדר מסירה פורמלית. ככל שנגרם לתובעת נזק, יש לייחס לה אשם תורם בשיעור של 100%, מאחר שלא עמדה על ביצוע מסירה </w:t>
      </w:r>
      <w:r w:rsidR="009B404C">
        <w:rPr>
          <w:rFonts w:ascii="David" w:hAnsi="David" w:cs="David"/>
          <w:sz w:val="24"/>
          <w:szCs w:val="24"/>
          <w:rtl/>
        </w:rPr>
        <w:t>פורמלי</w:t>
      </w:r>
      <w:r>
        <w:rPr>
          <w:rFonts w:ascii="David" w:hAnsi="David" w:cs="David"/>
          <w:sz w:val="24"/>
          <w:szCs w:val="24"/>
          <w:rtl/>
        </w:rPr>
        <w:t>ת למרות שקיבלה חזקה דה</w:t>
      </w:r>
      <w:r w:rsidR="00D62662">
        <w:rPr>
          <w:rFonts w:hint="cs" w:ascii="David" w:hAnsi="David" w:cs="David"/>
          <w:sz w:val="24"/>
          <w:szCs w:val="24"/>
          <w:rtl/>
        </w:rPr>
        <w:t xml:space="preserve"> </w:t>
      </w:r>
      <w:r>
        <w:rPr>
          <w:rFonts w:ascii="David" w:hAnsi="David" w:cs="David"/>
          <w:sz w:val="24"/>
          <w:szCs w:val="24"/>
          <w:rtl/>
        </w:rPr>
        <w:t>פקטו.</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עיריית אשקלון סבורה כי אינה צד אמיתי לסכסוך, שכן לא הוטלה עליה חובה הסכמית בקשר עם מסירת המגרש, ואין די בעצם היותה חתומה על הסכם התשתיות כדי ליצור כלפיה עילת תביעה יש מאין. כלל הפעולות בקשר עם מסירת המגרש נעשו מכוח הסכם התשתיות על ידי החברה הכלכלית.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הנתבעות 4-5 התנגדו לקביעת מועד המסירה במועדים הנקובים על ידי התובעת, ככל שיש בכך משום יצירת חבות כלשהי כלפיהן או כלפי צד שלישי. הן התנגדו לסעד ההצהרתי לעניין מחירי הדירות, וטענו כי אינו רלוונטי כלפיהן, ואילו העתירה לחיוב הנתבעים בהצמדה למדד, הוא סעד כספי המחופש להצהרתי, שדינו סילוק על הסף.</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נוכח האמור, בית המשפט נתבקש לדחות את התביעה כנגד העירייה והחברה הכלכלית.</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כתב התשובה מטעם התובעת לכתבי ההגנה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בכתב התשובה, התובעת מבהירה כי כתב התביעה אינו עוסק בתביעה לפיצוי בגין עיכובי בנייה וכתוצאה מכך עיכובים במסירת הדירות. הליך זה אינו אמור להכריע מהם הגורמים לעיכובים בבנייה ובמסירת הדירות.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אינה נדרשת להוכיח קשר סיבתי בין הימשכות הפרויקט למסירת המגרש. ההליך עוסק בקביעת מועד מסירת המגרש, שכן ממנו נגזר המועד של 20 החודשים שלגביהם מחיר הדירה יוצמד למדד. מדובר בהוראה חוזית, ולתובעת אין צורך להוכיח כי איחור במסירת המגרש גרם לעיכובים בבנייה או בהימשכות הפרויקט.</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lastRenderedPageBreak/>
        <w:t>הובהר כי כתב התביעה עוסק בפער המדדים שנגרם בשל עמדה שגויה של הנתבעים שטענו כי מועד מסירת המגרש הוא דצמבר 2018, ובכך מנעו חתימת הסכמי מכר עם דיירים. הנתבעים הפרו את ההסכמים והמכרז וביקשו לחייב את התובעת לחתום על הסכמי מכר עם מחיר דירה לא נכון ומופחת.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נטען, כי התנהלות הנתבעים היא שמנעה החתמת הסכמי מכר, וקיים קשר סיבתי בין מניעה זו לנזק שנגרם לתובעת בגין אותה תקופה. הנתבעים פעלו ברשלנות והפרו את מערך ההסכמים בחוסר תום לב.</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התובעת טענה בכתב התשובה כי לנתבעים אין ספור גרסאות למועד מסירת המגרש, שהשתנו והתפתחו כל העת.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התובעת דוחה את טענת הנתבעים כי היא העלתה טענות בנוגע למועד מסירת המגרש רק בחלוף מספר שנים. התובעת שלחה מכתב תשובה כבר ביום 21.7.2019, בו הבהירה כי בניגוד לטענה שהועלתה, מסירת המגרשים לא התקיימה ביום 21.6.2018, וכי רק מגרש 13 הוא זה שנמסר ביום 20.12.2018.</w:t>
      </w:r>
    </w:p>
    <w:p w:rsidR="00C812D4" w:rsidP="0093730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התובעת דוחה את טענות הנתבעים כי היא עסקה בהגדלת הפרויקט ולכן לא הייתה מוכנה להתחיל בבנייה, וכי הליכי התכנון שיזמה הם שגרמו לעיכובים. לעמדת התובעת, טענות אלו אינן רלוונטיות להליך זה, שעניינו קביעת מועד מסירת המגרש לצרכי חישוב תקופת ההצמדה.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עוד נטען בכתב התשובה כי גם לאחר החלטת בית המשפט בסעד הזמני מיום 29.3.2023, הנתבעים המשיכו לעכב את החתמת הדיירים הנותרים על הסכמי מכר, בין היתר באי מתן אישור להסכמי המכר ובדרישה להכניס אליהם הוראות שאינן מעוגנות במכרז.</w:t>
      </w:r>
    </w:p>
    <w:p w:rsidR="00C812D4" w:rsidP="00751AF8"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ההודעה לצדדי ג' מטעם המדינה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המדינה (רשות מקרקעי ישראל ומשרד הבינוי והשיכון) הגישה הודעת צד שלישי נגד עיריית אשקלון והחברה הכלכלית.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המדינה, ככל שתיקבע אחריות כלשהי בגין הנזקים הנטענים על ידי התובעת, הרי שנזקים אלו מונחים במלואם לפתחן של עיריית אשקלון והחברה הכלכלית. זאת, מכיוון שהעירייה הייתה אמונה ואחראית על תכנון וביצוע עבודות הפיתוח במגרש, והחברה הכלכלית הייתה אחראית יחד עמה על ביצוע עבודות הפיתוח ומסירת המגרש לתובעת.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אחריות זו נובעת מהסכם הגג שנחתם בשנת 2015, שבו נקבע כי תכנון וביצוע עבודות הפיתוח והתשתיות הציבוריות יבוצעו וינוהלו על ידי העירייה ו/או החברה הכלכלית ועל אחריותן. כמו כן, הסכם התשתיות שנחתם עם התובעת הטיל את האחריות למסירת המגרש במלואה על העירייה ו/או החברה הכלכלית.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נטען כי הצדדים השלישיים לא עמדו בתנאי הסכם הגג והסכם התשתיות, לא פיקחו כראוי על קבלני המשנה, לא ביצעו את הפעולות הנדרשות למסירת המגרש ולפיתוחו באופן מקצועי, וחשפו את המדינה לסיכון.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לפיכך, המדינה טענה שאם תחויב בפיצוי כלשהו לתובעת, הרי שהיא זכאית לסעד של שיפוי, השבה, פיצוי ו/או השתתפות מהצדדים השלישיים, בגין כל סכום שבו תחויב כלפי התובעת.</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טענות העירייה והחברה הכלכלית בכתב ההגנה להודעה לצדדים שלישיים</w:t>
      </w:r>
    </w:p>
    <w:p w:rsidR="00C812D4" w:rsidP="00D6266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בכתב ההגנה להודעת המדינה לצדדים שלישיים נטען כי היא מיותרת ומסרבלת את ההליך שלא לצורך, שכן אין בהודעה טענה חדשה שלא נטענה כבר על ידי </w:t>
      </w:r>
      <w:r w:rsidR="00D62662">
        <w:rPr>
          <w:rFonts w:hint="cs" w:ascii="David" w:hAnsi="David" w:cs="David"/>
          <w:sz w:val="24"/>
          <w:szCs w:val="24"/>
          <w:rtl/>
        </w:rPr>
        <w:t>המדינה</w:t>
      </w:r>
      <w:r>
        <w:rPr>
          <w:rFonts w:ascii="David" w:hAnsi="David" w:cs="David"/>
          <w:sz w:val="24"/>
          <w:szCs w:val="24"/>
          <w:rtl/>
        </w:rPr>
        <w:t>, או שלא קיבלה התייחסות מפורטת במסגרת כתב ההגנה שהוגש על ידי הנתבעות 4-5 בהליך העיקרי. לפיכך, בית המשפט נתבקש לדחות את ההודעה כנגד העירייה והחברה הכלכלית.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כך נטען כי הטענות העיקריות של התובעת בהליך העיקרי מכוונות כלפי המדינה, שכן התובעת התנהלה בעיקר מול המדינה במסגרת הפרויקט והמערכת ההסכמית ביניהן. העירייה והחברה הכלכלית לא היו צד למערכת הסכמית זו, לא היו חלק מהליך מכר הדירות, ולא העניקו ארכות או הטבות לתובעת.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כן נטען כי העירייה והחברה הכלכלית גם לא היו חלק מהעיכובים הנטענים על ידי התובעת, ואין להן חלק בתיקוני החקיקה ששינו את מחיר המכירה וההסכמות בין המדינה לתובעת. לפיכך, גם אם טענות התובעת יתקבלו, חלקן של העירייה והחברה הכלכלית בחלוקת האחריות יהיה אפסי.</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גם בכתב ההגנה להודעה לצד שלישי חזרו הנתבעות 4-5 על הטענות לפיהן התובעת לא עמדה במועדים שנטלה על עצמה בקשר עם הפרויקט, כגון תכנון הפרויקט, קבלת היתרים, מכירת דירות והתחלת עבודות. נטען, כי בזמן אמת, התובעת ייחסה את העיכובים לשולחות ההודעה, למגפת הקורונה ולמורכבות הפרויקט, ולא העלתה טענות נגד העירייה והחברה הכלכלית או ביחס למועד מסירת המגרש.</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עוד נטען כי שולחות ההודעה לא הקפידו על עמידת התובעת במועדי ההסכם והעניקו לה ארכות והטבות שונות. כעת, הן מנסות לגלגל את התביעה לעבר החברה הכלכלית והעירייה, למרות שהן אלו שהעניקו לתובעת את ההטבות המפליגות.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כן נטען כי העירייה והחברה הכלכלית אינן מודעות להתקשרויות ולמגעים בין התובעת לשולחות ההודעה ולא היו חלק מהן. אם שולחות ההודעה היו מעוניינות לבסס טענות על מסמכים אלו, מצופה היה שיציגו אותם בכתבי טענותיהן, אך הדבר לא נעשה.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בכתב ההגנה להודעה לצדדים שלישיים חזרו הנתבעות 4-5 על עמדתן לפיה התובעת התנהלה בתכסיסנות והציגה עמדות סותרות בפני שולחות ההודעה. נטען כי התובעת טענה כי החזקה במגרשים אמורה להימסר לה רק כשאפשר לבצע עבודות בנייה בפועל, אך בהמשך טענה לאיחור במסירת המגרש, כל זאת כדי לקבל ארכות.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עוד נטען כי התובעת ידעה עוד ביולי 2019 ששולחות ההודעה, העירייה והחברה הכלכלית רואות בה כמי שקיבלה כבר חזקה במגרשים, ואף טענה זאת במכתב לשולחות ההודעה. טענות אלו לא הובאו בפני העירייה והחברה הכלכלית בזמן אמת, והן למדו עליהן רק מההליך המשפטי.</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לכן, אם יתקבלו טענות התובעת, יש להטיל אשם תורם של 100% על התובעת ועל שולחות ההודעה. על התובעת בשל התנהלותה התכסיסנית שיצרה את הנזקים, ועל שולחות ההודעה בשל אי-הקטנת הנזק, ניהול רשלני של הפרויקט, אי-פיקוח, ומתן הטבות על בסיס טעמים מופרכים.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בזמן אמת, שולחות ההודעה לא הביאו לידיעת החברה הכלכלית את פרטי ההתנהלות בינן לבין התובעת ואת השיקולים שבבסיס ההטבות שניתנו. ההודעה לצדדים שלישיים מקורה בכישלון שולחות ההודעה בניהול הפרויקט, כישלון שהן מנסות לגלגל כעת אל העירייה והחברה הכלכלית.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לפיכך, נתבקש בית המשפט לדחות את ההודעה לצד שלישי שהגישה המדינה כנגד החברה הכלכלית ועיריית אשקלון.</w:t>
      </w:r>
    </w:p>
    <w:p w:rsidR="00C812D4" w:rsidP="00751AF8" w:rsidRDefault="00C812D4">
      <w:pPr>
        <w:pStyle w:val="ad"/>
        <w:spacing w:after="240" w:line="360" w:lineRule="auto"/>
        <w:ind w:left="284" w:right="-170"/>
        <w:contextualSpacing w:val="0"/>
        <w:jc w:val="both"/>
        <w:rPr>
          <w:rFonts w:ascii="David" w:hAnsi="David" w:cs="David"/>
          <w:sz w:val="24"/>
          <w:szCs w:val="24"/>
          <w:u w:val="single"/>
          <w:rtl/>
        </w:rPr>
      </w:pPr>
      <w:r>
        <w:rPr>
          <w:rFonts w:ascii="David" w:hAnsi="David" w:cs="David"/>
          <w:sz w:val="24"/>
          <w:szCs w:val="24"/>
          <w:u w:val="single"/>
          <w:rtl/>
        </w:rPr>
        <w:t>התביעה שכנגד</w:t>
      </w:r>
    </w:p>
    <w:p w:rsidRPr="00F537DF" w:rsidR="00C812D4" w:rsidP="00FA747C"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sidRPr="00F537DF">
        <w:rPr>
          <w:rFonts w:ascii="David" w:hAnsi="David" w:cs="David"/>
          <w:sz w:val="24"/>
          <w:szCs w:val="24"/>
          <w:rtl/>
        </w:rPr>
        <w:t>עיריית אשקלון והחברה הכלכלית הגישו נגד התובעת כתב תביעה שכנגד, במסגרתו טענו כי הנתבעת שכנגד (התובעת) עשתה שימוש בשטח ציבורי פתוח ללא היתר ושלא כדין, תוך הפרת התחייבויותיה לפנות את השטח ולהשיבו לקדמותו. נטען, כי למרות התחייבויות שונות, הנתבעת שכנגד לא פינתה את השטח במועדים שנקבעו.</w:t>
      </w:r>
      <w:r w:rsidRPr="00F537DF" w:rsidR="00F537DF">
        <w:rPr>
          <w:rFonts w:hint="cs" w:ascii="David" w:hAnsi="David" w:cs="David"/>
          <w:sz w:val="24"/>
          <w:szCs w:val="24"/>
          <w:u w:val="single"/>
          <w:rtl/>
        </w:rPr>
        <w:t xml:space="preserve"> </w:t>
      </w:r>
      <w:r w:rsidRPr="00F537DF">
        <w:rPr>
          <w:rFonts w:ascii="David" w:hAnsi="David" w:cs="David"/>
          <w:sz w:val="24"/>
          <w:szCs w:val="24"/>
          <w:rtl/>
        </w:rPr>
        <w:t>בנוסף, נטען כי הנתבעת שכנגד נטלה מהשטח חול בהיקף של כ-22,000 מ"ק שלא כדין וללא רשות. אי-פינוי השטח מנע כניסת קבלן פיתוח, ובכך נגרמו נזקים לעבודות פיתוח עירוניות.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lastRenderedPageBreak/>
        <w:t>התובעות שכנגד דרשו סעדים כספיים בגין נטילת החול בסך 1,504,359 ₪ (לפני מע"מ), דמי שימוש במקרקעין בסך 178,653.6 ₪ (לפני מע"מ), וכן בגין פגיעה בעבודות הפיתוח בסך 21,886.65 ₪ (לפני מע"מ). סך כל הנזקים הכספיים המצטברים הועמד על 1,704,899.25 ₪ (לפני מע"מ), שהם 1,994,732 ₪ כולל מע"מ.</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התובעת (הנתבעת שכנגד) טענה כי התביעה שכנגד שהוגשה על ידי עיריית אשקלון והחברה הכלכלית היא מוגזמת וחסרת עילה, והוגשה בחוסר תום לב ותוך שימוש לרעה בהליכי משפט, שכן מטרתה ליצור משקל נגדי לתביעה המוצדקת של התובעת.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התובעת טענה כי התביעה הוגשה בשיהוי ניכר, ללא כל בסיס עובדתי, וגרמה לה לנזק ראייתי. לגופו של עניין, התובעת הכחישה את הטענה כי נטלה חול שלא שייך לה בהיקף של 22,000 מ"ק בשווי מעל 1.5 מיליון ש"ח. היא מציינת כי עשתה שימוש מוגבל, בהסכמת התובעות שכנגד, בחלק מוגבל מתוך השטח ולזמן מוגבל, בעיקר לאחסון חול שנחפר מפרויקט סמוך.</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התובעת היא פינתה את החול שאוחסן ופריטים נוספים, והחזירה את המצב לקדמותו, ולא נטלה ולו גרם אחד של חול נוסף. התובעת התחייבה להשיב את השטח בהתאם למפלסי הפיתוח של המדרכות שבהיקף המגרש, ואכן עשתה זאת.</w:t>
      </w:r>
    </w:p>
    <w:p w:rsidRPr="00F537DF" w:rsidR="00C812D4" w:rsidP="00751AF8" w:rsidRDefault="00C812D4">
      <w:pPr>
        <w:pStyle w:val="ad"/>
        <w:numPr>
          <w:ilvl w:val="0"/>
          <w:numId w:val="1"/>
        </w:numPr>
        <w:spacing w:after="240" w:line="360" w:lineRule="auto"/>
        <w:ind w:left="284" w:right="-170" w:hanging="454"/>
        <w:contextualSpacing w:val="0"/>
        <w:jc w:val="both"/>
        <w:rPr>
          <w:rFonts w:ascii="David" w:hAnsi="David" w:cs="David"/>
          <w:spacing w:val="-6"/>
          <w:sz w:val="24"/>
          <w:szCs w:val="24"/>
        </w:rPr>
      </w:pPr>
      <w:r w:rsidRPr="00F537DF">
        <w:rPr>
          <w:rFonts w:ascii="David" w:hAnsi="David" w:cs="David"/>
          <w:spacing w:val="-6"/>
          <w:sz w:val="24"/>
          <w:szCs w:val="24"/>
          <w:rtl/>
        </w:rPr>
        <w:t>התובעת הכחישה את הטענה כי עליה לשלם דמי שימוש נוספים לעיריית אשקלון, שכן היא כבר שילמה דמי שימוש מוסכמים עבור השימוש המוגבל. כמו כן, היא הכחישה שגרמה נזקים לעבודות הפיתוח.</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כעולה מהמפורט לעיל, התביעה שכנגד נוגעת למחלוקת שונה ונפרדת מהמחלוקות הנדונות בהליך העיקרי, השטח עליו מדובר בתביעה שכנגד הוא שטח מקרקעין אחר מזה שנדון במסגרת התביעה העיקרית ומדובר לפיכך בתשתית עובדתית נפרדת שאינה קשורה לבירור התביעה העיקרית.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לפיכך, בהתאם לבקשה של התובעת (הנתבעת שכנגד) לה ניתנה הסכמת התובעות שכנגד, ועל מנת שבירור התביעה שכנגד לא יעכב את מתן ההכרעה בתביעה העיקרית, הורה בית המשפט בהחלטה מיום 16.7.2025 על פיצול הדיון בין התביעה העיקרית ובין התביעה שכנגד. פסק הדין הניתן בשלב זה, מתייחס לפיכך לתביעה העיקרית בלבד.</w:t>
      </w:r>
    </w:p>
    <w:p w:rsidR="00C812D4" w:rsidP="00751AF8" w:rsidRDefault="00C812D4">
      <w:pPr>
        <w:pStyle w:val="ad"/>
        <w:spacing w:after="240" w:line="360" w:lineRule="auto"/>
        <w:ind w:left="284" w:right="-170"/>
        <w:contextualSpacing w:val="0"/>
        <w:jc w:val="both"/>
        <w:rPr>
          <w:rFonts w:ascii="David" w:hAnsi="David" w:cs="David"/>
          <w:sz w:val="24"/>
          <w:szCs w:val="24"/>
          <w:u w:val="single"/>
          <w:rtl/>
        </w:rPr>
      </w:pPr>
      <w:r>
        <w:rPr>
          <w:rFonts w:ascii="David" w:hAnsi="David" w:cs="David"/>
          <w:sz w:val="24"/>
          <w:szCs w:val="24"/>
          <w:u w:val="single"/>
          <w:rtl/>
        </w:rPr>
        <w:t>צירוף רוכשי דירות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ביום 21.8.2024 הגישו מספר רוכשי דירות בקשה להצטרף כצד נוסף להליך. נטען, כי המבקשים הם חלק מרוכשי הדירות בפרויקט והכרעת בית המשפט בהליך עתידה להשפיע על זכויותיהם. הם מבקשים כי עמדתם תוצג בפני בית המשפט במסגרת בירור ההליך.</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התובעת התנגדה לבקשת רוכשי הדירות להצטרף להליך, בעיקר בשל השיהוי הכבד שנפל בהגשתה וההשלכות של הצירוף בשלב כה מאוחר לאחר הגשתה של התביעה, על קידום ההליך למתן הכרעה.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בהחלטה מיום 17.9.2024 קיבל בית המשפט (כב' השופט דנינו) את הבקשה להצטרף כבעלי דין להליך, נוכח טענת רוכשי הדירות כי תוצאת ההליך עשויה להשפיע על זכויותיהם.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עם זאת, נקבע כי הבקשה הוגשה בשיהוי ניכר ולא נמצא טעם טוב לשיהוי בהגשת הבקשה. בית המשפט ציין כי היעתרות לבקשה עלולה להסיג את ההליך לאחור, אולם למרות זאת, נקבע כי העיקר הוא קיומו של הליך שיפוטי ראוי והוגן, וכי העובדה שהמבקשים כבולים לתוצאות ההליך אינה גורעת מזכותם להשמיע את טענותיהם</w:t>
      </w:r>
      <w:r>
        <w:rPr>
          <w:rFonts w:ascii="David" w:hAnsi="David" w:cs="David"/>
          <w:sz w:val="24"/>
          <w:szCs w:val="24"/>
        </w:rPr>
        <w:t>.</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לפיכך, בית המשפט התיר את צירוף המבקשים כנתבעים להליך, אך חייב אותם בהוצאות התובעת.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שעה שצורפו הנתבעים הנוספים התחוור למותב שדן בהליך בשלבים המוקדמים (כב' השופט דנינו), כי בשל זהותו של אחד מהנתבעים הנוספים נוצרה מניעות מצדו להמשך הדיון בהליך. לפיכך, בהתאם להחלטה מיום 26.9.2024 הועבר ההליך לדיון בפניי.</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בכתב ההגנה שהוגש מטעם הנתבעים הנוספים, רוכשי הדירות מתנגדים לכל שינוי בתנאי המכרז עליו הסתמכו, ובמיוחד לכל תוצאה שתשית עליהם עלויות שלא באו לידי ביטוי במכרז ובחוזה. נטען, כי הרוכשים, כצרכנים, נמצאים במעמד נחות וחלש מול התובעת (חברה קבלנית גדולה) והנתבעות (רשויות ציבוריות). הם זכאים להגנה מפני שינויים בתנאי העסקה, לאחר שהסתמכו על זכייתם בהגרלה וחתמו על הסכם, תוך לקיחת הלוואות וסיכון כלכלי.</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רוכשי הדירות, קבלת עמדת התובעת, או הסכמות בינה לבין הנתבעות, לשינוי תנאי המכרז והמועדים הקבועים בו, תגרום נזק כספי לרוכשים. אין לאפשר להליכים בין התובעת ובין הנתבעות להשליך ישירות על הרוכשים, על הסתמכותם ועל הסיכונים שלקחו על עצמם.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עוד נטען כי כל שינוי בתנאי המכרז ובמחירים שהובטחו לרוכשים, תוך מתן אפשרות לתובעת לעשות שינויים בתנאי העסקה, פוגע לא רק ברוכשים ישירות אלא גם באינטרס הציבורי שבפרויקט מחיר למשתכן, שנועד לאפשר דיור מוזל.</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רוכשי הדירות, הם התקשרו בהסכמים במסגרת מחיר למשתכן והסתמכו על המחירים שנקבעו בו, ושינוי המחירים יפגע בהסתמכותם הלגיטימית ובהחלטתם לרכוש את הדירות. לא עמדה להם אלטרנטיבה אחרת, ואי חתימה על ההסכם הייתה מובילה לביטול זכייתם.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ככל שחלו עיכובים בפרויקט, הרוכשים אינם צריכים לשאת בעלויות הנובעות מכך. מכל מקום, אין קשר בין העיכובים הנטענים על ידי התובעת במסירת המגרש ובין התמשכות הפרויקט, ואין בכך כדי להצדיק או לאפשר לתובעת להתחמק מאחריותה.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עוד נטען, כי העלאת מחירי הדירות תוביל להתעשרות שלא כדין של התובעת על חשבון הרוכשים. הרוכשים מפרטים את ההשלכות הכספיות של השינויים המבוקשים על ידי התובעת. שעה שקבלת עמדת התובעת תעלה את מחיר הדירה בעשרות אלפי שקלים נוספים.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הודגש, כי הרוכשים הם תמי לב וללא כל אחריות בעניין, ונמצאים במעמד נחות וחלש לעומת הצדדים האחרים. יש להגן על האינטרס שלהם, שכן הם זכו בהגרלה, חתמו על הסכם והסתמכו עליו, לקחו הלוואות ומשכנתאות, ותכננו את חייהם בהתאם.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על כן ביקשו הרוכשים לקבוע כי ההליך בין התובעת לנתבעות לא ישית על הרוכשים עלויות נוספות מעבר למה שהתחייבו אליו, בניגוד להוראות המכרז, הסכם הרכישה וחוק המכר (דירות). </w:t>
      </w:r>
    </w:p>
    <w:p w:rsidR="00C812D4" w:rsidP="00751AF8"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כתב התשובה מטעם התובעת לטענות רוכשי הדירות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ביום 28.11.2024 הגישה התובעת תשובה לכתב ההגנה מטעם הנתבעים 6-11. התובעת טענה כי אין בסיס לטענות הנתבעים 6-11 בכתב ההגנה בדבר שינוי בתנאי המכרז והמועדים הקבועים בו עליהם הסתמכו הנתבעים, או שינוי במחירים שהובטחו לרוכשים.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התובעת הדגישה כי הנתבעים 6-11 חתמו על הסכמי מכר הכוללים נספח תמורה שאושר על ידי הרשויות. נספח זה קובע כי פסיקת בית המשפט או הסכמה בין התובעת למדינה בהליך הנוכחי תחייב את הצדדים.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לפיכך, לעמדת התובעת</w:t>
      </w:r>
      <w:r w:rsidR="00646650">
        <w:rPr>
          <w:rFonts w:hint="cs" w:ascii="David" w:hAnsi="David" w:cs="David"/>
          <w:sz w:val="24"/>
          <w:szCs w:val="24"/>
          <w:rtl/>
        </w:rPr>
        <w:t>,</w:t>
      </w:r>
      <w:r>
        <w:rPr>
          <w:rFonts w:ascii="David" w:hAnsi="David" w:cs="David"/>
          <w:sz w:val="24"/>
          <w:szCs w:val="24"/>
          <w:rtl/>
        </w:rPr>
        <w:t xml:space="preserve"> לנתבעים 6-11 אין מעמד בהליך זה, וכתב ההגנה שלהם אינו רלוונטי בעיקרו, שכן הוא מנסה להתערב בתוצאות ההליך ובמערכת היחסים ההסכמית בין התובעת לרשויות, מבלי שהם צד למערכת הסכמית זו. הנתבעים מתעלמים מקיומו של הסכם המכר עליו הם חתומים, דבר המהווה הפרה של ההסכם.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התובעת הכחישה את טענות הנתבעים 6-11 כי היא ביקשה להתעשר על חשבונם, וטענה כי היא פעלה באופן סביר לקידום הפרויקט למרות עיכובים שאינם בשליטתה.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התובעת הכחישה את הטענות בנוגע למועד מסירת המגרש ומציינת כי הסכם החכירה נחתם בין התובעת ובין רמ"י לפני הסכמי המכר עם הנתבעים 6-11, ואינו מקנה להם זכויות. הסכמי המכר </w:t>
      </w:r>
      <w:r>
        <w:rPr>
          <w:rFonts w:ascii="David" w:hAnsi="David" w:cs="David"/>
          <w:sz w:val="24"/>
          <w:szCs w:val="24"/>
          <w:rtl/>
        </w:rPr>
        <w:lastRenderedPageBreak/>
        <w:t>עם הנתבעים, הכוללים את מועד מסירת הדירות, מאוחרים להסכם החכירה ואושרו על ידי משרד הבינוי והשיכון, ולכן גוברים עליו.</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התובעת טענה כי הנתבעים 6-11 אינם מנסים להבין את המצב הבלתי אפשרי שבו היא מצאה את עצמה, וכי היא עשתה מאמצים כבירים לקידום הפרויקט למרות עיכובים הנובעים מגורמים שאינם בשליטתה. התובעת הדגישה כי הרשויות הן שהפרו את ההסכמים ועיכבו את הפרויקט, ולא התובעת</w:t>
      </w:r>
    </w:p>
    <w:p w:rsidRPr="00626058" w:rsidR="00C812D4" w:rsidP="00751AF8" w:rsidRDefault="00C812D4">
      <w:pPr>
        <w:pStyle w:val="ad"/>
        <w:spacing w:after="240" w:line="360" w:lineRule="auto"/>
        <w:ind w:left="284" w:right="-170"/>
        <w:contextualSpacing w:val="0"/>
        <w:jc w:val="both"/>
        <w:rPr>
          <w:rFonts w:ascii="David" w:hAnsi="David" w:cs="David"/>
          <w:b/>
          <w:bCs/>
          <w:sz w:val="24"/>
          <w:szCs w:val="24"/>
          <w:u w:val="single"/>
        </w:rPr>
      </w:pPr>
      <w:r w:rsidRPr="00626058">
        <w:rPr>
          <w:rFonts w:ascii="David" w:hAnsi="David" w:cs="David"/>
          <w:b/>
          <w:bCs/>
          <w:sz w:val="24"/>
          <w:szCs w:val="24"/>
          <w:u w:val="single"/>
          <w:rtl/>
        </w:rPr>
        <w:t>העדויות והראיות שהוגשו מטעם הצדדים</w:t>
      </w:r>
    </w:p>
    <w:p w:rsidR="00C812D4" w:rsidP="00751AF8" w:rsidRDefault="00C812D4">
      <w:pPr>
        <w:pStyle w:val="ad"/>
        <w:spacing w:after="240" w:line="360" w:lineRule="auto"/>
        <w:ind w:left="284" w:right="-170"/>
        <w:contextualSpacing w:val="0"/>
        <w:jc w:val="both"/>
        <w:rPr>
          <w:rFonts w:ascii="David" w:hAnsi="David" w:cs="David"/>
          <w:sz w:val="24"/>
          <w:szCs w:val="24"/>
          <w:u w:val="single"/>
          <w:rtl/>
        </w:rPr>
      </w:pPr>
      <w:r>
        <w:rPr>
          <w:rFonts w:ascii="David" w:hAnsi="David" w:cs="David"/>
          <w:sz w:val="24"/>
          <w:szCs w:val="24"/>
          <w:u w:val="single"/>
          <w:rtl/>
        </w:rPr>
        <w:t>העדות מטעם התובעת – עדות מנהל התובעת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מטעם התובעת הוגש תצהיר עדות ראשית ארוך ומפורט של מר יצחק כהן, מנכ"ל ובעלי התובעת.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בתצהירו, מפנה העד מטעם התובעת להוראות המכרז בו זכתה התובעת ולהוראות ההסכמים השונים שנחתמו בקשר לפרויקט ובפרט ביחס להצמדת מחיר הדירות, כך שמחירי הדירות צמודים למדד תשומות הבנייה מהמדד הידוע במועד האחרון להגשת ההצעות ועד למועד חתימת הסכם המכר או 20 חודשים לאחר שלב 05 (מסירת המגרש). לטענתו, הוראה זו מהותית, ולולא היא, התובעת לא הייתה ניגשת למכרז. המצהיר טוען כי כל הגבלה על הצמדה מלאה למדד, או התנהלות המונעת זאת, היא בלתי סבירה, חסרת היגיון כלכלי, בלתי הוגנת, חסרת תום לב, ואף תני</w:t>
      </w:r>
      <w:r w:rsidR="00646650">
        <w:rPr>
          <w:rFonts w:hint="cs" w:ascii="David" w:hAnsi="David" w:cs="David"/>
          <w:sz w:val="24"/>
          <w:szCs w:val="24"/>
          <w:rtl/>
        </w:rPr>
        <w:t>י</w:t>
      </w:r>
      <w:r>
        <w:rPr>
          <w:rFonts w:ascii="David" w:hAnsi="David" w:cs="David"/>
          <w:sz w:val="24"/>
          <w:szCs w:val="24"/>
          <w:rtl/>
        </w:rPr>
        <w:t>ה מקפחת בחוזה אחיד.</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לעניין מועד מסירת המגרש טוען המצהיר, כי הרשויות לא ביצעו מסירה בהתאם למערך ההסכמים. לטענתו, מועד המסירה הנכון הוא תחילת עבודות התובעת במגרש ביום 24.6.20 או לחילופין מועד קבלת היתר החפירה ביום 26.4.20. הוא מדגיש כי מטרת מסירת המגרש היא לאפשר בנייה, ובדצמבר 2018 המגרש לא היה במצב שמאפשר זאת עקב ערימת חול גדולה.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לטענתו, המגרש לא נמסר בחודש דצמבר 2018. המצהיר טוען כי הרשויות לא העבירו יתדות סימון, לא זימנו את התובעת למסירה מסודרת (כנדרש בנספח ז' להסכם התשתיות), והתובעת לא חתמה על פרוטוקול אישור קבלת המגרש (נספח ח').</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עוד טוען העד מטעם התובעת כי בהודעת חברת הפיקוח מיום 23.12.18 צוין רק מגרש 13, ולא מגרש 14. בתגובה מיום 24.12.18, התובעת השיבה כי קיימים ליקויים במגרשים 13 ו-14. בהודעת חברת הפיקוח מיום 25.12.18 צוין שמגרש 13 מוכן, ואילו לגבי מגרש 14 נמסר כי התובעת תוזמן למסירה מסודרת בהקדם – דבר המוכיח, לטענת המצהיר, שמגרש 14 לא נמסר באותו מועד.</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lastRenderedPageBreak/>
        <w:t>לגרסת העד, הוא היה נוכח אישית בפגישה שהתקיימה בשטח ביום 20.12.18 ולטענתו המגרש לא נמסר באותו יום ולא ניתן היה למסור אותו במצבו.</w:t>
      </w:r>
    </w:p>
    <w:p w:rsidR="00C812D4" w:rsidP="00281280"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ביחס לתכתובת שהוחלפה לאחר חודש דצמבר 2018 נטען כי התובעת הבהירה כי בניגוד לנטען, המגרשים לא נמסרו לידיה, לא ביום 21.6.2018, לא ביום </w:t>
      </w:r>
      <w:r w:rsidR="00281280">
        <w:rPr>
          <w:rFonts w:hint="cs" w:ascii="David" w:hAnsi="David" w:cs="David"/>
          <w:sz w:val="24"/>
          <w:szCs w:val="24"/>
          <w:rtl/>
        </w:rPr>
        <w:t>16</w:t>
      </w:r>
      <w:r>
        <w:rPr>
          <w:rFonts w:ascii="David" w:hAnsi="David" w:cs="David"/>
          <w:sz w:val="24"/>
          <w:szCs w:val="24"/>
          <w:rtl/>
        </w:rPr>
        <w:t>.</w:t>
      </w:r>
      <w:r w:rsidR="00281280">
        <w:rPr>
          <w:rFonts w:hint="cs" w:ascii="David" w:hAnsi="David" w:cs="David"/>
          <w:sz w:val="24"/>
          <w:szCs w:val="24"/>
          <w:rtl/>
        </w:rPr>
        <w:t>8</w:t>
      </w:r>
      <w:r>
        <w:rPr>
          <w:rFonts w:ascii="David" w:hAnsi="David" w:cs="David"/>
          <w:sz w:val="24"/>
          <w:szCs w:val="24"/>
          <w:rtl/>
        </w:rPr>
        <w:t xml:space="preserve">.2018 וגם לא ביום </w:t>
      </w:r>
      <w:r w:rsidR="00646650">
        <w:rPr>
          <w:rFonts w:ascii="David" w:hAnsi="David" w:cs="David"/>
          <w:sz w:val="24"/>
          <w:szCs w:val="24"/>
          <w:rtl/>
        </w:rPr>
        <w:t>20.12.2018</w:t>
      </w:r>
      <w:r w:rsidR="00646650">
        <w:rPr>
          <w:rFonts w:hint="cs" w:ascii="David" w:hAnsi="David" w:cs="David"/>
          <w:sz w:val="24"/>
          <w:szCs w:val="24"/>
          <w:rtl/>
        </w:rPr>
        <w:t xml:space="preserve">, </w:t>
      </w:r>
      <w:r>
        <w:rPr>
          <w:rFonts w:ascii="David" w:hAnsi="David" w:cs="David"/>
          <w:sz w:val="24"/>
          <w:szCs w:val="24"/>
          <w:rtl/>
        </w:rPr>
        <w:t>שעה שבאותו מועד נמסר רק מגרש 13, והמצב בשטח במגרש 14 לא איפשר בנייה ועל כן מגרש 14 לא נמסר באותו יום.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מר כהן טוען בתצהירו כי בהיעדר מסירה מסודרת, התובעת נאלצה לבצע סימון מגרש מטעמה באוגוסט 2020. כמו כן, פוליסת הביטוח של הפרויקט החלה רק בנובמבר 2020, בסמוך לתחילת העבודות. לטענת המצהיר, עובדות אלו מוכיחות כי המגרש לא נמסר קודם לכן, שכן מסירת המגרש כוללת גם העברת אחריות הדורשת הוצאת ביטוח.</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העד מטעם התובעת מדגיש את ההבדלים במסירה בין מגרש 13 למגרש 14. בעוד שלגבי מגרש 13 חברת הפיקוח שלחה הודעה ספציפית על מסירה ביום 20.12.2018 (אף שהתובעת חלקה עליה), לגבי מגרש 14 מעולם לא התקבלה הודעה כזו, אלא רק הודעה על זימון עתידי למסירה מסודרת.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לגרסת העד בתצהיר, אין ממש בטענת הנתבעות כי התובעת קיבלה חזקה בפועל משנת 2019. לטענתו, קידוחי ניסיון, גידור וכן ההתכתבויות עם נציגי הפיקוח אינם מלמדים על מסירת המגרש או קבלת חזקה בפועל. קידוחי ניסיון בוצעו כבר בספטמבר 2018 והם פעולות נקודתיות, והגידור שנעשה היה עבור מגרש 13 ומהווה פעולה שניתן לבצע לפני המסירה בהתאם לחוזה הבנייה.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מנהל התובעת מפרט שורה ארוכה של פעולות שנקטה התובעת לקידום הפרויקט מיד לאחר זכייתה במכרז (מאי 2016), כולל חתימה על הסכמים, התקשרות עם אדריכלים ויועצים, הוצאת ערבויות, הגשת בקשות להיתר בנייה ועוד. הוא מדגיש כי התובעת עשתה כל שביכולתה לקידום הפרויקט, ואף הגדילה את מספר יחידות הדיור והגביהה את המגדל, דבר שהיטיב עם הציבור אך לא הגדיל את רווחיותה.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עוד נטען בתצהיר כי המדינה עיכבה במשך כשנה את מתן אישורה לבקשת התובעת להארכת מועד מסירת הדירות ל-31.12.2024 (בקשה שהוגשה בדצמבר 2020 ואושרה רק בדצמבר 2021). לטענתו, העיכוב הזה היה בלתי סביר וחסר בסיס, ונגרם למרות שהתובעת עשתה כל שביכולתה לקדם את הנושא.</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מנהל התובעת טוען בתצהירו כי הודעת משרד הבינוי מיום 12.12.2021, שקבעה את מועד מסירת המגרש ליום 16.8.2018 (המועד האחרון למסירה על פי ההסכם, ולא מועד המסירה בפועל), יצרה מניעה נוספת להחתמת חוזי המכר. לטענתו, קביעה שגויה זו משמעותה הפסקת ההצמדה למדד </w:t>
      </w:r>
      <w:r>
        <w:rPr>
          <w:rFonts w:ascii="David" w:hAnsi="David" w:cs="David"/>
          <w:sz w:val="24"/>
          <w:szCs w:val="24"/>
          <w:rtl/>
        </w:rPr>
        <w:lastRenderedPageBreak/>
        <w:t>תשומות מחלוף 20 חודשים ממועד מסירת המגרש, דבר שהיה גורם לתובעת נזקים של מיליוני שקלים.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עוד נטען לסחבת ארוכה (מחודש דצמבר 2021 ועד הגשת התביעה בחודש ספטמבר 2022) שבה התובעת ניסתה לשכנע את הרשויות במועד המסירה הנכון, הציגה ראיות, והתריעה על הנזקים, אך נתקלה בקיר אטום של בירוקרטיה, התעלמות מראיות, ודרישות סותרות מצד הרשויות. לטענתו, התנהלות זו מנעה מהתובעת להחתים הסכמי מכר וגרמה להפסדים כבדים.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בשל חוסר ההצלחה מול הרשויות, התובעת נאלצה להגיש תביעה ובקשה לסעדים זמניים, כאשר בכך ניסתה התובעת לפעול להקטנת הנזק. למרות החלטת בית המשפט בהליך הסעד הזמני בה נקבע חודש מרץ 2020 כמועד מסירת המגרש לצורך הסעד הזמני, הרשויות המשיכו לעכב את אישור נספח השינויים להסכמי המכר, מה שגרם לעיכובים נוספים בחתימתם.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sidRPr="00F537DF">
        <w:rPr>
          <w:rFonts w:ascii="David" w:hAnsi="David" w:cs="David"/>
          <w:spacing w:val="-4"/>
          <w:sz w:val="24"/>
          <w:szCs w:val="24"/>
          <w:rtl/>
        </w:rPr>
        <w:t>מנהל התובעת מדגיש כי מדובר בפרויקט מחיר למשתכן בעל שולי רווח נמוכים במיוחד. הוא טוען כי פגיעה כלכלית נוספת בתובעת (למשל, אי-הכרה בהצמדה מלאה) עלולה לדרדר את הפרויקט להפסד</w:t>
      </w:r>
      <w:r>
        <w:rPr>
          <w:rFonts w:ascii="David" w:hAnsi="David" w:cs="David"/>
          <w:sz w:val="24"/>
          <w:szCs w:val="24"/>
          <w:rtl/>
        </w:rPr>
        <w:t>.</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הובהר כי התובעת אינה מבקשת לשנות את תנאי המכרז, אלא לאכוף אותם. הוא דוחה את טענת רוכשי הדירות בדבר אינטרס ציבורי לדיור מוזל, ומציין כי טענתם כי הם צד חלש אינה נכונה, שכן הסכמי המכר אושרו על ידי הרשויות. הוא מדגיש כי התביעה עוסקת בהפרת מערך ההסכמים בנושא מסירת המגרש וסיכול החתמת הסכמי המכר, ולא בתביעת דיירים לעיכוב במסירה.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מטעם העד הוגש תצהיר עדות ראשית משלים במסגרתו התייחס העד למסמכים שעלו בגילוי המסמכים מטעם המדינה, כגון מכתבים בהם הכירה המדינה בכך שטענת החברה הכלכלית למועד מסירה ביום 25.12.18 היא מוטעית, או מכתבים מהם עלה כי חתימות הסכמי המכר התארכו תקופה ארוכה בשל וויכוח על מועד מסירת המגרש. לעמדתו, המדינה העדיפה לטמון את הראש בחול, והתעקשה על מועד מסירה לא נכון ולא מוכח.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תצהיר עדות ראשית משלים נוסף של מר יצחק כהן הוגש בתשובה לנטען בתצהיר העדות הראשית של העד מטעם הנתבעות 4-5 מר איציק חליס, במסגרתו טען מר חליס כי במפגש שנערך בשטח ביום 20.12.2018 הוא מסר לידי נציגי הנתבעת מפת מדידה הכוללת סימונים.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בתצהיר המשלים האמור מכחיש מנהל התובעת כי מפת המדידה שצורפה כנספח 7 לתצהירו של איציק חליס נמסרה לתובעת ביום 20.12.18 במסגרת פגישה שנערכה בשטח.</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מנהל התובעת אישר בתצהיר המשלים כי נכח בפגישה שנערכה בשטח ביום 20.12.18, אך לגרסתו נספח 7 האמור אינו מוכר לו והמסמך לא נמסר לתובעת ביום 20.12.18 כפי הנטען.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במסגרת דיוני ההוכחות, העד מר יצחק כהן נחקר ממושכות בחקירות נגדיות על ידי ב"כ הנתבעות. מר כהן אישר כי התובעת זכתה במכרז מחיר למשתכן וקיבלה את הקרקע בהנחה על מנת למכור את הדירות במחיר שנקבע. הוא אישר שהתובעת התחייבה לתנאים מסוימים במכרז, כולל השלמת הבנייה וקבלת טופס 4 בתוך 24 חודשים מיום קבלת המגרש.</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ע</w:t>
      </w:r>
      <w:r w:rsidR="00281280">
        <w:rPr>
          <w:rFonts w:ascii="David" w:hAnsi="David" w:cs="David"/>
          <w:sz w:val="24"/>
          <w:szCs w:val="24"/>
          <w:rtl/>
        </w:rPr>
        <w:t xml:space="preserve">וד אישר מר כהן בעדותו כי בחודש </w:t>
      </w:r>
      <w:r>
        <w:rPr>
          <w:rFonts w:ascii="David" w:hAnsi="David" w:cs="David"/>
          <w:sz w:val="24"/>
          <w:szCs w:val="24"/>
          <w:rtl/>
        </w:rPr>
        <w:t>אוגוסט 2018, היה אמור להיות לתובעת היתר בנייה, אך לטענתו באותו מועד התובעת לא קיבלה את מגרש 14. הוא אישר שלא היה לתובעת היתר בנייה באותה תקופה ולטענתו הבקשה לקבלת היתר בנייה הוגשה בסוף חודש אוקטובר 2018, אולם בהמשך עלה כי זאת הייתה רק בקשה לקבלת דרישות להכנת ההיתר.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העד מטעם התובעת נשאל לגבי מצב המגרש, ולגרסתו בחודש מרץ 2018 "אין מגרש, לא היה מגרש, מרץ היה מלא חולות שם".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לשאלות לגבי מנגנון ההצמדות בהסכמים הראשונים השיב כי אינו זוכר את הפרטים, אך ציין שאם השפעת ההצמדה למדד תשומות הבנייה לא הייתה משמעותית, לא היתה התובעת פותחת בהליך המשפטי.</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לגבי ניסיונות מסירת המגרש, מר כהן הכחיש שהוזמן או שהשתתף בסיור בחודש מרץ 2018, וטען כי "אף אחד לא הזמין אותי לסיור ולא היה שום סיור ולא היה מגרש". הוא אישר שהיה נוכח בניסיון המסירה שנערך בשטח בחודש דצמבר 2018, אך לגרסתו סירב לקבל את המגרש בשל ערימת העפר שנותרה עדיין במגרש 14.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מר כהן לא זכר אם עקב אחר פינוי העפר לאחר שקיבל מייל המציין שהעפר יפונה. הוא הכחיש מכל וכל שקיבל מאיציק חליס תוכנית סימון מנייר במפגש המסירה שנערך בשטח בחודש דצמבר 2018, וטען שאיציק חליס אינו מודד מוסמך ואינו יכול לספק תוכנית מדידה תקנית.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ביחס לתכתובות, מנהל התובעת טען שיש לו אנשים במשרד שמתאמים את הדברים, וכי הוא אינו מטפל באופן אישי במכתבים. לעמדתו, הוא רואה את כל הגורמים – המינהל, משרד השיכון והחברה הכלכלית – כאחראים למסירת המגרש. כך חזר וטען כי התובעת לא קיבלה מעולם קבצי סימון וכי נאלצה לבצע סימון מגרש על חשבונה.</w:t>
      </w:r>
    </w:p>
    <w:p w:rsidR="00C812D4" w:rsidP="00751AF8" w:rsidRDefault="00C812D4">
      <w:pPr>
        <w:pStyle w:val="ad"/>
        <w:spacing w:after="240" w:line="360" w:lineRule="auto"/>
        <w:ind w:left="284" w:right="-170"/>
        <w:contextualSpacing w:val="0"/>
        <w:jc w:val="both"/>
        <w:rPr>
          <w:rFonts w:ascii="David" w:hAnsi="David" w:cs="David"/>
          <w:sz w:val="24"/>
          <w:szCs w:val="24"/>
          <w:u w:val="single"/>
          <w:rtl/>
        </w:rPr>
      </w:pPr>
      <w:r>
        <w:rPr>
          <w:rFonts w:ascii="David" w:hAnsi="David" w:cs="David"/>
          <w:sz w:val="24"/>
          <w:szCs w:val="24"/>
          <w:u w:val="single"/>
          <w:rtl/>
        </w:rPr>
        <w:t>העדויות מטעם הנתבעות 1-3</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מטעם הנתבעות 1-3 הוגש תצהיר עדות ראשית של מר  לוי לידור בונן, המכהן בתפקיד מנהל אגף בכיר (שיווק) במשרד הבינוי והשיכון. לעדותו בתצהיר, משרד הבינוי והשיכון אינו אחראי על ביצוע מסירת מגרש 14, מאחר שאינו מעורב בפרויקט זה שהינו מכרז בלעדי של רמ"י. ביחס </w:t>
      </w:r>
      <w:r>
        <w:rPr>
          <w:rFonts w:ascii="David" w:hAnsi="David" w:cs="David"/>
          <w:sz w:val="24"/>
          <w:szCs w:val="24"/>
          <w:rtl/>
        </w:rPr>
        <w:lastRenderedPageBreak/>
        <w:t>למסירת המגרש צוין כי אין קשר סיבתי בין איחור נטען במסירת המגרש לעיכוב בפרויקט, שכן בהיעדר היתר בנייה ממילא לא היתה התובעת יכולה לקדם את הבניה במגרש.</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לטענתו, ממכתבי התובעת בזמן אמת עלה שהעיכובים בפרויקט נבעו מטעמים רבים אחרים שאינם קשורים כלל למועד מסירת מגרש 14. משרד הבינוי והשיכון השיב לכל פניותיה של התובעת, ואילו התובעת לא קישרה בזמן אמת בין מועד מסירת המגרש לנזקים נטענים כלשהם.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לעניין בקשות התובעת להארכת מועד ביצוע מסירת הדירות, משרד הבינוי והשיכון אישר הארכת מועד לכלל היזמים עד ליום 31.12.2023, והתובעת הסכימה למועד מסירה זה בכך שהחתימה את הרוכשים הראשונים על חוזי מכר הכולל מועד זה כמועד מסירת הדירות לרוכשים. באותו שלב, </w:t>
      </w:r>
      <w:r w:rsidR="00281280">
        <w:rPr>
          <w:rFonts w:hint="cs" w:ascii="David" w:hAnsi="David" w:cs="David"/>
          <w:sz w:val="24"/>
          <w:szCs w:val="24"/>
          <w:rtl/>
        </w:rPr>
        <w:t>ב</w:t>
      </w:r>
      <w:r>
        <w:rPr>
          <w:rFonts w:ascii="David" w:hAnsi="David" w:cs="David"/>
          <w:sz w:val="24"/>
          <w:szCs w:val="24"/>
          <w:rtl/>
        </w:rPr>
        <w:t>קשת התובעת להאריך את מועד מסירת הדירות לרוכשים בשל קשיים נדחתה.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בעדותו בבית המשפט הסביר לגבי הקשר שלו לנושא ההתדיינות, שעה שבתקופה ה</w:t>
      </w:r>
      <w:r w:rsidR="009B404C">
        <w:rPr>
          <w:rFonts w:ascii="David" w:hAnsi="David" w:cs="David"/>
          <w:sz w:val="24"/>
          <w:szCs w:val="24"/>
          <w:rtl/>
        </w:rPr>
        <w:t>רלוונטי</w:t>
      </w:r>
      <w:r>
        <w:rPr>
          <w:rFonts w:ascii="David" w:hAnsi="David" w:cs="David"/>
          <w:sz w:val="24"/>
          <w:szCs w:val="24"/>
          <w:rtl/>
        </w:rPr>
        <w:t>ת שימש כיועץ משפטי במשרד וכיום מכהן כאמור כמנהל אגף.</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העד התייחס בעדותו לתפקידה של חברת הבקרה, הפועלת עבור משרד הבינוי והשיכון ורמ"י, לוודא עמידת קבלנים בתנאי המכרז.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לגרסת העד בעדותו בבית המשפט, המחלוקת לגבי מועד מסירת המגרש התעוררה רק בשלבים מאוחרים. העיכוב בחתימת ההסכמים מול הרוכשים נבע מכך שהתובעת התעקשה לכלול בהסכמי המכר  מול רוכשי הדירות את מועד המסירה כפי רצונה, שלא בהתאמה למידע שהועבר למשרד הבינוי והשיכון ולרמ"י. </w:t>
      </w:r>
    </w:p>
    <w:p w:rsidR="00C812D4" w:rsidP="00646650"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כן מסר כי הוא אישית אינו יודע </w:t>
      </w:r>
      <w:r w:rsidR="00646650">
        <w:rPr>
          <w:rFonts w:hint="cs" w:ascii="David" w:hAnsi="David" w:cs="David"/>
          <w:sz w:val="24"/>
          <w:szCs w:val="24"/>
          <w:rtl/>
        </w:rPr>
        <w:t>לומר</w:t>
      </w:r>
      <w:r>
        <w:rPr>
          <w:rFonts w:ascii="David" w:hAnsi="David" w:cs="David"/>
          <w:sz w:val="24"/>
          <w:szCs w:val="24"/>
          <w:rtl/>
        </w:rPr>
        <w:t xml:space="preserve"> מתי המגרש נמסר בפועל, אך ציין שהקבלן עצמו אמר לו בשיחה אישית שהעיכוב נבע מהליך התכנון לתוספת בניית דירות למכירה בשוק החופשי, ולא בשל מועד המסירה של המגרש.</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בנוגע למכתב מיום 19.8.2021 שבו התובעת העלתה את נושא האיחור במסירת המגרש, העד טען שהמכתב נגע לבקשת התובעת למכור דירות שלא בהתאם להגרלות, ולא לעניין ההצמדות או מועד מסירת המגרש. לעדותו, המשרד אישר דחייה למועד מסירת הדירות לחודש דצמבר 2024, לא בגלל בעיות במסירת המגרש אלא מכיוון שהסתבר כי הקבלן לא התקדם בבנייה.</w:t>
      </w:r>
    </w:p>
    <w:p w:rsidR="00C812D4" w:rsidP="00646650"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מטעמן של הנתבעות 1-3 הוגש גם תצהיר עדות ראשית של גב' ז'נט יפה לביא, המכהנת בתפקיד מקדמת עסקות במרחב עסקי ירושלים ברמ"י. התצהיר מפרט את המסמכים הנוגעים </w:t>
      </w:r>
      <w:r w:rsidR="00646650">
        <w:rPr>
          <w:rFonts w:hint="cs" w:ascii="David" w:hAnsi="David" w:cs="David"/>
          <w:sz w:val="24"/>
          <w:szCs w:val="24"/>
          <w:rtl/>
        </w:rPr>
        <w:t>למכרז</w:t>
      </w:r>
      <w:r>
        <w:rPr>
          <w:rFonts w:ascii="David" w:hAnsi="David" w:cs="David"/>
          <w:sz w:val="24"/>
          <w:szCs w:val="24"/>
          <w:rtl/>
        </w:rPr>
        <w:t xml:space="preserve"> מחיר למשתכן באשקלון, במסגרתו התובעת זכתה, לבנייה במגרשים 13 ו-14 ביום 16.5.2016. </w:t>
      </w:r>
      <w:r>
        <w:rPr>
          <w:rFonts w:ascii="David" w:hAnsi="David" w:cs="David"/>
          <w:sz w:val="24"/>
          <w:szCs w:val="24"/>
          <w:rtl/>
        </w:rPr>
        <w:lastRenderedPageBreak/>
        <w:t>בהתאם להסכם הגג, תכנון וביצוע עבודות הפיתוח והתשתיות הציבוריות בפרויקט הוטלו על עיריית אשקלון והחברה הכלכלית לאשקלון.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העירייה והחברה הכלכלית חתמו עם הזוכה במכרז על חוזה לביצוע תשתיות, שבו הוגדרו עבודות הפיתוח ומועד מסירת המגרש. רמ"י חתמה עם התובעת על חוזה חכירה וכן נחתם חוזה בנייה למגרש 14 ביום 12.12.2016. בהתאם לכך, התובעת המציאה ערבות ביצוע.</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לעניין שלבי הבנייה צוין, כי ברמ"י התקבלה בקשה להיתר בנייה למגרש 14 רק ביום 4.2.2020, והמסמכים הוחזרו ללא חתימת רמ"י מאחר שלא כללו את מלוא חתימות הגופים הנדרשים.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בהמשך, רמ"י חתמה על התוכניות להיתר חפירה ביום 13.2.2020 ומסרה אותן לתובעת, וביום 21.3.2022 קיבלה התובעת היתר בנייה מלא למגרש 14.</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התצהיר מתייחס גם להחלטות ועדת חילוטים, כגון החלטה מיום 10.1.2022 למתן אורכה עד ליום 31.12.2023. הובהר כי החלטה זו נועדה להקל על התובעת, אך אינה משנה את תנאי המכרז או את מחירי הדירות.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בעדותה בבית המשפט אישרה כי תפקידה אינו כולל עיסוק במועד מסירת המגרש או בהצמדות מחירי הדירות למדד, למרות שהיא מודעת לקיומו של סעיף ההצמדה במכרז. לטענתה, רמ"י אינה אחראית למסירת המגרש, והאחריות לכך מוטלת על העירייה והחברה הכלכלית מכוח הסכם הגג.</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עוד התייחסה בעדותה להחלטות ועדת החילוטים, לפרוצדורה ביחס להמצאת הפרוטוקולים ליזמים, ולמשלוח המכתבים בדבר חילוט ערבויות.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מטעמן של הנתבעות 1-3 הוגש גם תצהיר עדות ראשית של מר אורי דולב, המכהן בתפקיד בקר מרחב עסקי ירושלים ברמ"י. גם בתצהירו מתייחס להסכם הגג, ולכך שהאחריות על תכנון וביצוע עבודות הפיתוח והתשתיות הציבוריות מוטלת על העירייה והחברה הכלכלית, ובכלל זאת לפי סעיף 4.1.21 להסכם הגג הקובע כי ביצוע עבודות הפיתוח ומסירת המגרשים ליזמים מצויים באחריותן.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כאמור, האחריות למסירת המגרשים היא של העירייה והחברה הכלכלית ואילו רמ"י מקבלת מהן את המידע בנוגע למועד המסירה. התובעת נדרשה להוציא היתר בנייה מאושר בתוך 27 חודשים ממועד הכרזת ועדת המכרזים, אך לא נמצא תיעוד לכך שעמדה בתנאי זה.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לעדותו בתצהיר, אין מניעה בהליכי התכנון להגיש בקשה להיתר בנייה אף קודם לקבלת המגרש בפועל. לפי הידוע לרמ"י, ביום 21.6.2018 זימנה החברה הכלכלית את היזמים למסירת המגרשים, </w:t>
      </w:r>
      <w:r>
        <w:rPr>
          <w:rFonts w:ascii="David" w:hAnsi="David" w:cs="David"/>
          <w:sz w:val="24"/>
          <w:szCs w:val="24"/>
          <w:rtl/>
        </w:rPr>
        <w:lastRenderedPageBreak/>
        <w:t>אך נציגי התובעת סירבו לחתום ולקבל את המגרשים בטענה שטרם הסתיימו עבודות האספלט וקיים חומר לא חפור.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עוד ידוע לרמ"י, כי ניסיון נוסף למסירת מגרש 14 נעשה ביום 14.12.2018 אך המסירה לא בוצעה באותו מועד בשל ערימת עפר. עם זאת, ערימה זו פונתה תוך זמן קצר והמגרש נמסר בסמוך לכך. העד מפנה בתצהירו למכתבו של המהנדס מר לבינר מיום 18.3.2019 במסגרתו ציין שהתובעת טרם התחילה עבודות לפי שלב 06 וכי המגרשים 13 ו-14 פנויים.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מר דולב הדגיש בתצהירו כי התובעת לא פנתה לרמ"י בבקשה או תלונה כלשהי בקשר למועד מסירת המגרש בזמן אמת, והוא עצמו התוודע לסוגיה רק בדיעבד.</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בעדותו בבית המשפט הסביר שרמ"י אינה הגורם המחליט על מועד מסירת המגרש, אלא החברה הכלכלית לאשקלון היא זו שמוסרת את המגרש. רמ"י ניזונה מהמידע שהיא מקבלת מהחברה הכלכלית.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מר דולב אישר שנעשו ניסיונות למסור את המגרש בחודש דצמבר 2018, אך התובעת סירבה לקבלו בשל ערימת חול. הוא טען בעדותו שהערימה פונתה זמן קצר לאחר מכן, והמגרש נמסר בסמוך לכך.</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ביחס למכתבו של מהנדס רמ"י מר שלמה לבינר לתובעת מחודש מרץ 2019, שבו נכתב שהמגרש פנוי, טען העד שהתובעת לא התייחסה לכך בתשובתה. הוא הדגיש שהתובעת לא פנתה לרמ"י בתלונות על מועד מסירת המגרש בזמן אמת, וכי המחלוקת התעוררה בדיעבד.</w:t>
      </w:r>
    </w:p>
    <w:p w:rsidR="00C812D4" w:rsidP="00751AF8" w:rsidRDefault="00C812D4">
      <w:pPr>
        <w:pStyle w:val="ad"/>
        <w:spacing w:after="240" w:line="360" w:lineRule="auto"/>
        <w:ind w:left="284" w:right="-170"/>
        <w:contextualSpacing w:val="0"/>
        <w:jc w:val="both"/>
        <w:rPr>
          <w:rFonts w:ascii="David" w:hAnsi="David" w:cs="David"/>
          <w:sz w:val="24"/>
          <w:szCs w:val="24"/>
          <w:u w:val="single"/>
          <w:rtl/>
        </w:rPr>
      </w:pPr>
      <w:r>
        <w:rPr>
          <w:rFonts w:ascii="David" w:hAnsi="David" w:cs="David"/>
          <w:sz w:val="24"/>
          <w:szCs w:val="24"/>
          <w:u w:val="single"/>
          <w:rtl/>
        </w:rPr>
        <w:t>העדות מטעם הנתבעות 4-5</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מטעמן של הנתבעות 4-5 הוגש תצהירו של מר איציק חליס, אשר עובד בחברה המעניקה לחברה הכלכלית ליווי בפרויקטים לבנייה במסגרת תוכנית מחיר למשתכן באשקלון, בהם החברה הכלכלית מבצעת עבודות פיתוח בשטחים הציבוריים באמצעות קבלנים שונים. לעדותו בתצהיר, הוא ליווה את עבודות הפיתוח שבוצעו על ידי החברה הכלכלית ואת הפרויקטים של התובעת במגרשים 13-14 בשכונת עיר ימים באשקלון.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תפקידו כלל מסירת מגרשים ליזמים ועמידה בקשר עם יזמים בנוגע לממשק שבין הפרויקטים שלהם לעבודות הפיתוח הציבוריות.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הוא פעל מול התובעת בנוגע לקבלת תוכניות ובדיקה שהן מתחברות לתשתיות העירוניות, וכן בנוגע למסירת המגרשים לתובעת.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lastRenderedPageBreak/>
        <w:t>התובעת הוזמנה לקבל את המגרשים ביום 21.6.2018, ולמעמד המסירה הגיעו אדריכל ומהנדס התובעת. התובעת סירבה לקבל את המגרשים בטענה שטרם הסתיים ביצוע אספלט ובמגרש 13 קיים חומר לא חפור שטרם פונה.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בעקבות הסירוב, לא נמסרו שני המגרשים. התובעת הוזמנה שוב ביום 4.9.2018, אך לא שלחה נציג והודיעה שקיבלה דחייה, שהנתבעים לא הכירו בה.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מר חליס מפנה בתצהירו להוראות הסכם התשתיות הקובעות כי אם יזם לא יופיע לקבל את המגרש, יראו אותו כמי שהמגרש נמסר לידיו.</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למרות אי הופעת התובעת במועד השני, נשלח זימון נוסף למסירה ליום 20.12.2018. במועד זה, קוים ניסיון שלישי למסור את המגרשים.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בסיכום המסירה מיום 20.12.2018, צוין שהיזם הגיע עם אדריכל ועם מהנדס החברה, סומנו כל הנקודות למגרש 13 ורוב נקודות מגרש 14, למעט אלו שהיו בתוך חומר שנחפר.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היזם סירב לחתום על מסמכי קבלת המגרשים, כאשר הסיבה למגרש 13 הייתה אי קבלת קובץ תשתיות, ולמגרש 14 הייתה ערימת חומר שטרם הסתיימה העברתה. העד טען בתצהירו כי באותו מפגש, התובעת קיבלה לידיה תכנית סימון מנייר.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שלושה ימים לאחר סיור המסירה, ביום 23.12.2018, פנה לתובעת וציין כי רואים אותה כמי שקיבלה את מגרש 13. בתגובה, ביום 24.12.2018, עורך דין מטעם התובעת הסתייג מביצוע מסירה ביחס לשני המגרשים.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ביום 25.12.2018, מר אסף כחלון מחברת הפיקוח השיב כי מגרש 13 נמסר וכי מגרש 14 מוכן למסירה, והתובעת תזומן למסירה מסודרת בהקדם.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לעדותו של מר חליס בתצהיר, מבדיקה שערך, לא נשלח לתובעת זימון למסירה נוספת למגרש 14, אך גם לא אותרה פנייה מצד התובעת לקיום מסירה </w:t>
      </w:r>
      <w:r w:rsidR="009B404C">
        <w:rPr>
          <w:rFonts w:ascii="David" w:hAnsi="David" w:cs="David"/>
          <w:sz w:val="24"/>
          <w:szCs w:val="24"/>
          <w:rtl/>
        </w:rPr>
        <w:t>פורמלי</w:t>
      </w:r>
      <w:r>
        <w:rPr>
          <w:rFonts w:ascii="David" w:hAnsi="David" w:cs="David"/>
          <w:sz w:val="24"/>
          <w:szCs w:val="24"/>
          <w:rtl/>
        </w:rPr>
        <w:t>ת. נוכח מהלך הדברים כאמור, הנתבעים ראו את התובעת כמי שקיבלה את מגרש 14, והיא לא אמרה אחרת.</w:t>
      </w:r>
    </w:p>
    <w:p w:rsidR="00C812D4" w:rsidP="00607AAB"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התובעת התנהלה כמי שקיבלה את שני המגרשים והמשיכה לקדם את עבודת התכנון, מבלי שביקשה מסירה </w:t>
      </w:r>
      <w:r w:rsidR="009B404C">
        <w:rPr>
          <w:rFonts w:ascii="David" w:hAnsi="David" w:cs="David"/>
          <w:sz w:val="24"/>
          <w:szCs w:val="24"/>
          <w:rtl/>
        </w:rPr>
        <w:t>פורמלי</w:t>
      </w:r>
      <w:r>
        <w:rPr>
          <w:rFonts w:ascii="David" w:hAnsi="David" w:cs="David"/>
          <w:sz w:val="24"/>
          <w:szCs w:val="24"/>
          <w:rtl/>
        </w:rPr>
        <w:t>ת, ו</w:t>
      </w:r>
      <w:r w:rsidR="00607AAB">
        <w:rPr>
          <w:rFonts w:hint="cs" w:ascii="David" w:hAnsi="David" w:cs="David"/>
          <w:sz w:val="24"/>
          <w:szCs w:val="24"/>
          <w:rtl/>
        </w:rPr>
        <w:t>ב</w:t>
      </w:r>
      <w:r>
        <w:rPr>
          <w:rFonts w:ascii="David" w:hAnsi="David" w:cs="David"/>
          <w:sz w:val="24"/>
          <w:szCs w:val="24"/>
          <w:rtl/>
        </w:rPr>
        <w:t>כלל ז</w:t>
      </w:r>
      <w:r w:rsidR="00607AAB">
        <w:rPr>
          <w:rFonts w:hint="cs" w:ascii="David" w:hAnsi="David" w:cs="David"/>
          <w:sz w:val="24"/>
          <w:szCs w:val="24"/>
          <w:rtl/>
        </w:rPr>
        <w:t>ה</w:t>
      </w:r>
      <w:r>
        <w:rPr>
          <w:rFonts w:ascii="David" w:hAnsi="David" w:cs="David"/>
          <w:sz w:val="24"/>
          <w:szCs w:val="24"/>
          <w:rtl/>
        </w:rPr>
        <w:t xml:space="preserve"> חתמה על מסמכים רשמיים ולא פנתה בתלונות בנוגע למסירה.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lastRenderedPageBreak/>
        <w:t>ביום 24.12.2018, אדריכל התובעת פנה לחברת המדידה בבקשה לקבל מדידות וציין כי כבר קיבל קבצי סימון. ביום 26.12.2018, מודד מטעם החברה הכלכלית השיב כי המדידה שנשלחה הייתה מיום 19.6.2018, וכי למדידה עדכנית יש לשלוח הזמנה מסודרת.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ביום 17.1.2019 הועברו ליזמים הפועלים בשכונה (כולל התובעת) קבצי תוכניות עדות לעבודות התשתיות של המים והביוב, מה שהעיד על השלמת עבודות הפיתוח הציבוריות.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במקביל, פנו הנתבעים לתובעת בבקשה לקבל ממנה את תוכניותיה להיתר. בחודש ינואר 2019, התובעת עלתה לקרקע במגרש 14 וביצעה קידוחי ניסיון.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ביחס לערימת העפר שהיתה במגרש 14, לגרסת העד בתצהירו, זו פונתה סופית במהלך חודש ינואר 2019. בהקשר לכך מפנה העד בתצהירו למדידה מיום 19.2.2019, שערך מודד מטעם החברה הכלכלית, המלמדת כי ערימת העפר כבר לא הייתה בשטח.</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כמו כן מפנה העד למדידה נוספת מיום 24.1.2019, שנעשתה על ידי מודד מטעם התובעת, שגם היא מלמדת כי ערימת העפר כבר לא הייתה בשטח מגרש 14. כן נטען כי התובעת לא תיאמה את הגעת המודד מטעמה, מה שמעיד שהיא ראתה את המגרש כמצוי בחזקתה.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ביום 7.4.2019 הועברו לתובעת קבצי תוכניות עדות של עבודות התאורה שבוצעו בשטחים הציבוריים. ביום 16.5.2019 הועברו קבצי תוכניות עדות כוללים של התשתיות, לרבות גבהי העפר.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לעדות העד בתצהיר, הוא העביר לתובעת התייחסויות ראשוניות ונוספות לתוכניות שהוגשו על ידה לצורך קידום היתר הבנייה, וקיבל תוכניות לבדיקה בתחום הסניטריה ביום 21.11.2019.</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לגרסתו, הוא לא קיבל פנייה מהתובעת לביצוע מסירה </w:t>
      </w:r>
      <w:r w:rsidR="009B404C">
        <w:rPr>
          <w:rFonts w:ascii="David" w:hAnsi="David" w:cs="David"/>
          <w:sz w:val="24"/>
          <w:szCs w:val="24"/>
          <w:rtl/>
        </w:rPr>
        <w:t>פורמלי</w:t>
      </w:r>
      <w:r>
        <w:rPr>
          <w:rFonts w:ascii="David" w:hAnsi="David" w:cs="David"/>
          <w:sz w:val="24"/>
          <w:szCs w:val="24"/>
          <w:rtl/>
        </w:rPr>
        <w:t>ת של מגרש 14, ולא הועלתה טענה על אי מסירת המגרש. לטענתו, התנהגות הצדדים שיקפה הבנה כי מגרשים 13-14 כבר היו מצויים בחזקת התובעת.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בעדותו של מר חליס בבית המשפט מסר כי תפקידו היה ללוות את עבודות הפיתוח הציבוריות ולמסור מגרשים ליזמים.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מר חליס אישר כי אסף כחלון היה מנהלו באותה תקופה, והוא עצמו היה העיניים בשטח והתנהל מול קבלנים ומנהלי פרויקטים. הוא ציין כי בשנת 2017-2018 היה בתחילת דרכו המקצועית.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לגבי ניסיון המסירה הראשון ביוני 2018, מר חליס הסכים שהייתה ערימת עפר במגרש ולכן התובעת סירבה לקבלו. הוא ציין כי סירבו גם יזמים אחרים בשל חוסר אספלט, וכי היה לגיטימי מצד התובעת לא לקבל את המגרש במצב זה.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lastRenderedPageBreak/>
        <w:t>בניסיון המסירה השני בספטמבר 2018, התובעת לא הגיעה למסירה ודחתה אותה, וגם אז עדיין הייתה ערימת עפר במגרש. חליס אישר כי התובעת הייתה רשאית לסרב לקבל את המגרש גם במועד זה.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בניסיון המסירה השלישי בדצמבר 2018, מר חליס העיד כי ערימת העפר הייתה בתהליך פינוי, וכי משאיות החלו לצאת מהשטח. הוא טען כי המטרה הייתה למסור את המגרש מוקדם ככל האפשר, וכי התובעת הייתה יכולה לקבל אותו גם עם ליקויים קטנים.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הוא הודה כי באותו מועד לא ניתן היה לתקוע את כל היתדות בפינות המגרש בשל העפר, והוצבו יתדות במרחק אבטחה (במרחק של כ-40 מטר מהפינות). חליס הסכים שהתובעת הייתה רשאית לסרב לקבל את המגרש ב</w:t>
      </w:r>
      <w:r w:rsidR="00EC4196">
        <w:rPr>
          <w:rFonts w:hint="cs" w:ascii="David" w:hAnsi="David" w:cs="David"/>
          <w:sz w:val="24"/>
          <w:szCs w:val="24"/>
          <w:rtl/>
        </w:rPr>
        <w:t xml:space="preserve">מפגש בחודש </w:t>
      </w:r>
      <w:r>
        <w:rPr>
          <w:rFonts w:ascii="David" w:hAnsi="David" w:cs="David"/>
          <w:sz w:val="24"/>
          <w:szCs w:val="24"/>
          <w:rtl/>
        </w:rPr>
        <w:t>דצמבר 2018 בשל הליקויים הללו.</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לגבי נספח 7 (מפת סימון), מר חליס טען כי הוא נמסר לתובעת במעמד המסירה בדצמבר 2018, וכי נשלח גם במייל לאדריכל התובעת. הוא הודה כי הנספח המקורי שצורף לתצהיר היה שגוי, וכי הוחלף במפת סימון שהתקבלה בסמוך למעמד המסירה.</w:t>
      </w:r>
    </w:p>
    <w:p w:rsidR="00C812D4" w:rsidP="00EC4196"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מר חליס אישר כי במייל פנימי מיום 23.12.2018, שבו דיווח לאסף כחלון, </w:t>
      </w:r>
      <w:r w:rsidR="00EC4196">
        <w:rPr>
          <w:rFonts w:hint="cs" w:ascii="David" w:hAnsi="David" w:cs="David"/>
          <w:sz w:val="24"/>
          <w:szCs w:val="24"/>
          <w:rtl/>
        </w:rPr>
        <w:t>צוינה</w:t>
      </w:r>
      <w:r>
        <w:rPr>
          <w:rFonts w:ascii="David" w:hAnsi="David" w:cs="David"/>
          <w:sz w:val="24"/>
          <w:szCs w:val="24"/>
          <w:rtl/>
        </w:rPr>
        <w:t xml:space="preserve"> הסיבה לאי קבלת </w:t>
      </w:r>
      <w:r w:rsidR="00EC4196">
        <w:rPr>
          <w:rFonts w:hint="cs" w:ascii="David" w:hAnsi="David" w:cs="David"/>
          <w:sz w:val="24"/>
          <w:szCs w:val="24"/>
          <w:rtl/>
        </w:rPr>
        <w:t>ה</w:t>
      </w:r>
      <w:r w:rsidR="00EC4196">
        <w:rPr>
          <w:rFonts w:ascii="David" w:hAnsi="David" w:cs="David"/>
          <w:sz w:val="24"/>
          <w:szCs w:val="24"/>
          <w:rtl/>
        </w:rPr>
        <w:t>מגר</w:t>
      </w:r>
      <w:r w:rsidR="00EC4196">
        <w:rPr>
          <w:rFonts w:hint="cs" w:ascii="David" w:hAnsi="David" w:cs="David"/>
          <w:sz w:val="24"/>
          <w:szCs w:val="24"/>
          <w:rtl/>
        </w:rPr>
        <w:t>ש</w:t>
      </w:r>
      <w:r>
        <w:rPr>
          <w:rFonts w:ascii="David" w:hAnsi="David" w:cs="David"/>
          <w:sz w:val="24"/>
          <w:szCs w:val="24"/>
          <w:rtl/>
        </w:rPr>
        <w:t>. הוא גם אישר כי במייל מיום 25.12.2018 למנהל התובעת, כתב כי מגרש 13 נמסר אך לא ציין זאת לגבי מגרש 14.</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הוא הודה כי הכתוב במייל מיום 1.9.2019, שבו נכתב כי מגרש 14 נמסר לתובעת במסירה שלישית בתאריך 25.12.2018 לאחר פינוי העפר, אינו מדויק. מר חליס הסביר כי פינוי העפר הסתיים בפועל רק במהלך ינואר 2019.</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לדבריו, התאריך שנרשם במייל לא היה מדויק, והוא לא חשב בזמן אמת שהוא צריך לבדוק את התאריכים המדויקים. הוא ציין כי המחלוקת על מועד המסירה התעוררה רק בדיעבד, בשנת 2022.</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מר חליס טען כי התובעת ביצעה קידוחי ניסיון במגרש 14 בינואר 2019, וכי מבחינתו, ברגע שיזם נכנס לבצע קידוחי ניסיון, משמעותו, "אני בעל הבית של השטח". הוא הוסיף כי כל בר דעת שקדח יודע שהשטח הזה נקי מחומר.</w:t>
      </w:r>
    </w:p>
    <w:p w:rsidR="00C812D4" w:rsidP="00607AAB" w:rsidRDefault="009C376B">
      <w:pPr>
        <w:pStyle w:val="ad"/>
        <w:numPr>
          <w:ilvl w:val="0"/>
          <w:numId w:val="1"/>
        </w:numPr>
        <w:spacing w:after="240" w:line="360" w:lineRule="auto"/>
        <w:ind w:left="284" w:right="-170" w:hanging="454"/>
        <w:contextualSpacing w:val="0"/>
        <w:jc w:val="both"/>
        <w:rPr>
          <w:rFonts w:ascii="David" w:hAnsi="David" w:cs="David"/>
          <w:sz w:val="24"/>
          <w:szCs w:val="24"/>
          <w:rtl/>
        </w:rPr>
      </w:pPr>
      <w:r>
        <w:rPr>
          <w:rFonts w:hint="cs" w:ascii="David" w:hAnsi="David" w:cs="David"/>
          <w:sz w:val="24"/>
          <w:szCs w:val="24"/>
          <w:rtl/>
        </w:rPr>
        <w:t>העד</w:t>
      </w:r>
      <w:r w:rsidR="00C812D4">
        <w:rPr>
          <w:rFonts w:ascii="David" w:hAnsi="David" w:cs="David"/>
          <w:sz w:val="24"/>
          <w:szCs w:val="24"/>
          <w:rtl/>
        </w:rPr>
        <w:t xml:space="preserve"> אישר כי לא בוצע </w:t>
      </w:r>
      <w:r w:rsidR="00607AAB">
        <w:rPr>
          <w:rFonts w:hint="cs" w:ascii="David" w:hAnsi="David" w:cs="David"/>
          <w:sz w:val="24"/>
          <w:szCs w:val="24"/>
          <w:rtl/>
        </w:rPr>
        <w:t>מעקב</w:t>
      </w:r>
      <w:r w:rsidR="00C812D4">
        <w:rPr>
          <w:rFonts w:ascii="David" w:hAnsi="David" w:cs="David"/>
          <w:sz w:val="24"/>
          <w:szCs w:val="24"/>
          <w:rtl/>
        </w:rPr>
        <w:t xml:space="preserve"> ולא נשלח זימון רשמי נוסף למסירה לאחר דצמבר 2018. מר חליס אישר כי בדיעבד זו הייתה טעות מצד הנתבעות שלא זימנו את התובעת שוב לאחר פינוי העפר.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lastRenderedPageBreak/>
        <w:t xml:space="preserve">לגבי מפת המדידה (נספח 13 לתצהירו), </w:t>
      </w:r>
      <w:r w:rsidR="009C376B">
        <w:rPr>
          <w:rFonts w:hint="cs" w:ascii="David" w:hAnsi="David" w:cs="David"/>
          <w:sz w:val="24"/>
          <w:szCs w:val="24"/>
          <w:rtl/>
        </w:rPr>
        <w:t xml:space="preserve">מר </w:t>
      </w:r>
      <w:r>
        <w:rPr>
          <w:rFonts w:ascii="David" w:hAnsi="David" w:cs="David"/>
          <w:sz w:val="24"/>
          <w:szCs w:val="24"/>
          <w:rtl/>
        </w:rPr>
        <w:t>חליס הסביר כי קווי הגובה במפה מראים שהאדמה יצאה וכי אין יותר תלוליות עפר. הוא טען כי האדריכל של התובעת קיבל קבצי סימון ו"האז מיידים" (תוכניות עדות לאחר ביצוע).</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לדבריו, קבלת קבצים אלו אפשרה לתובעת להתקדם בתכנון, וכי היא לא העלתה טענות על אי מסירת המגרש בזמן אמת. הוא ציין כי החברה הכלכלית השתמשה בעפר שפונה מהמגרש בפרויקט אחר בשכונת הרצוג הסמוכה.</w:t>
      </w:r>
    </w:p>
    <w:p w:rsidRPr="009C376B" w:rsidR="00C812D4" w:rsidP="009C376B" w:rsidRDefault="009C376B">
      <w:pPr>
        <w:pStyle w:val="ad"/>
        <w:numPr>
          <w:ilvl w:val="0"/>
          <w:numId w:val="1"/>
        </w:numPr>
        <w:spacing w:after="240" w:line="360" w:lineRule="auto"/>
        <w:ind w:left="284" w:right="-170" w:hanging="454"/>
        <w:contextualSpacing w:val="0"/>
        <w:jc w:val="both"/>
        <w:rPr>
          <w:rFonts w:ascii="David" w:hAnsi="David" w:cs="David"/>
          <w:sz w:val="24"/>
          <w:szCs w:val="24"/>
          <w:rtl/>
        </w:rPr>
      </w:pPr>
      <w:r>
        <w:rPr>
          <w:rFonts w:hint="cs" w:ascii="David" w:hAnsi="David" w:cs="David"/>
          <w:sz w:val="24"/>
          <w:szCs w:val="24"/>
          <w:rtl/>
        </w:rPr>
        <w:t xml:space="preserve">מר </w:t>
      </w:r>
      <w:r w:rsidR="00C812D4">
        <w:rPr>
          <w:rFonts w:ascii="David" w:hAnsi="David" w:cs="David"/>
          <w:sz w:val="24"/>
          <w:szCs w:val="24"/>
          <w:rtl/>
        </w:rPr>
        <w:t>חליס טען כי התובעת יכלה לבקש להשתמש בעפר אם רצתה, אך לא עשתה זאת. הוא אישר כי הוא אינו מודד מוסמך, אך יודע לקרוא מפות.</w:t>
      </w:r>
      <w:r>
        <w:rPr>
          <w:rFonts w:hint="cs" w:ascii="David" w:hAnsi="David" w:cs="David"/>
          <w:sz w:val="24"/>
          <w:szCs w:val="24"/>
          <w:rtl/>
        </w:rPr>
        <w:t xml:space="preserve"> </w:t>
      </w:r>
      <w:r w:rsidRPr="009C376B" w:rsidR="00C812D4">
        <w:rPr>
          <w:rFonts w:ascii="David" w:hAnsi="David" w:cs="David"/>
          <w:sz w:val="24"/>
          <w:szCs w:val="24"/>
          <w:rtl/>
        </w:rPr>
        <w:t>הוא הסביר כי בהסכם התשתיות יש דרישה לסימון מגרש באמצעות יתדות, וכי בדרך כלל מסמנים 4 פינות. הוא הודה כי במגרש 14, שאינו מרובע, נדרשו יותר מ-4 יתדות לסימון מלא.</w:t>
      </w:r>
    </w:p>
    <w:p w:rsidRPr="00626058" w:rsidR="00C812D4" w:rsidP="00751AF8" w:rsidRDefault="00C812D4">
      <w:pPr>
        <w:pStyle w:val="ad"/>
        <w:spacing w:after="240" w:line="360" w:lineRule="auto"/>
        <w:ind w:left="284" w:right="-170"/>
        <w:contextualSpacing w:val="0"/>
        <w:jc w:val="both"/>
        <w:rPr>
          <w:rFonts w:ascii="David" w:hAnsi="David" w:cs="David"/>
          <w:b/>
          <w:bCs/>
          <w:sz w:val="24"/>
          <w:szCs w:val="24"/>
          <w:u w:val="single"/>
        </w:rPr>
      </w:pPr>
      <w:r w:rsidRPr="00626058">
        <w:rPr>
          <w:rFonts w:ascii="David" w:hAnsi="David" w:cs="David"/>
          <w:b/>
          <w:bCs/>
          <w:sz w:val="24"/>
          <w:szCs w:val="24"/>
          <w:u w:val="single"/>
          <w:rtl/>
        </w:rPr>
        <w:t>הסכם הפשרה לעניין תיקון 9 לחוק המכר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ביום 25.2.2026 הוגשה לתיק בית המשפט הודעה בדבר גיבוש הסדר פשרה בנוגע לתיקון מספר 9 לחוק המכר. הסדר הפשרה בא לאחר שננקטו הליכים שונים, ביניהם עתירות לבית המשפט העליון ועתירות מנהליות, ביחס לתחולת התיקון.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בין העותרות והמשיבים בבג"צ 4939/22 ובג"צ 5278/22, בהליך הנוגע לתיקון מס' 9 לחוק המכר, גובש הסדר פשרה הכולל התאמה לפי אומדן נורמטיבי של מחירי דירות וחלוקה של שווי ההתאמה בין המדינה, הקבלנים ורוכשי הדירות.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הסכם הפשרה האמור, שנחתם ביום 22.1.2024  אושר על ידי בית המשפט העליון בפסק דינו מיום 29.10.2024 שקבע כי ההסדר שגובש הוא ראוי, הוגן ומאוזן. בהתאם לכך, נקבע שההסכם יובא לוועדת המכרזים שתשקול לאמצו באופן רוחבי.</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ועדת המכרזים התכנסה ביום 9.1.2025 ונתנה החלטה כללית בעניין, ולפיה הסדר הפשרה אומץ בחלקו על ידי הוועדה, וקבלנים הוזמנו להצטרף אליו עד ליום 10.3.2025. מועד זה הוארך לאחר מכן פעמיים, והתאריך האחרון להגשת בקשה לוועדה נקבע ליום 9.5.2025.</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במסגרת הסדר הפשרה שגובש בתיק זה, הוחלט לאפשר לתובעת להצטרף להסדר הנוגע לתיקון מספר 9 לחוק המכר (דירות), התשל</w:t>
      </w:r>
      <w:r w:rsidR="00607AAB">
        <w:rPr>
          <w:rFonts w:hint="cs" w:ascii="David" w:hAnsi="David" w:cs="David"/>
          <w:sz w:val="24"/>
          <w:szCs w:val="24"/>
          <w:rtl/>
        </w:rPr>
        <w:t>"</w:t>
      </w:r>
      <w:r>
        <w:rPr>
          <w:rFonts w:ascii="David" w:hAnsi="David" w:cs="David"/>
          <w:sz w:val="24"/>
          <w:szCs w:val="24"/>
          <w:rtl/>
        </w:rPr>
        <w:t>ג-1973, בכפוף לתנאי ההסדר כפי שנקבעו בהחלטת ועדת המכרזים של הרשות וכפי שפורסמו באתר רשות מקרקעי ישראל. ההצטרפות תתבצע באמצעות שליחת כתב ויתור לוועדת המכרזים ברמ"י, וזאת תוך 21 ימים מקבלת פסק הדין החלקי.</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המדינה התחייבה לפעול בהתאם להסדר ולשלם לתובעת את הסכומים בהתאם לו ובמועדים הקבועים בו, בכפוף לעמידת התובעת בהוראות הסדר תיקון מס' 9. התובעת תהיה רשאית לגבות מרוכשי הדירות שההסדר חל עליהם את חלקם בהתאם להסדר תיקון מס' 9.</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נוכח האמור, הסעד בכתב התביעה הנוגע לתיקון מספר 9 לחוק המכר, ותחולתו על התובעת, התייתר, שעה שניתן תוקף של פסק דין חלקי  בהליך זה להסדר הפשרה.</w:t>
      </w:r>
    </w:p>
    <w:p w:rsidRPr="00626058" w:rsidR="00C812D4" w:rsidP="00751AF8" w:rsidRDefault="00C812D4">
      <w:pPr>
        <w:pStyle w:val="ad"/>
        <w:spacing w:after="240" w:line="360" w:lineRule="auto"/>
        <w:ind w:left="284" w:right="-170"/>
        <w:contextualSpacing w:val="0"/>
        <w:jc w:val="both"/>
        <w:rPr>
          <w:rFonts w:ascii="David" w:hAnsi="David" w:cs="David"/>
          <w:b/>
          <w:bCs/>
          <w:sz w:val="25"/>
          <w:szCs w:val="25"/>
        </w:rPr>
      </w:pPr>
      <w:r w:rsidRPr="00626058">
        <w:rPr>
          <w:rFonts w:ascii="David" w:hAnsi="David" w:cs="David"/>
          <w:b/>
          <w:bCs/>
          <w:sz w:val="25"/>
          <w:szCs w:val="25"/>
          <w:u w:val="single"/>
          <w:rtl/>
        </w:rPr>
        <w:t>דיון והכרעה</w:t>
      </w:r>
    </w:p>
    <w:p w:rsidR="00C812D4" w:rsidP="00751AF8" w:rsidRDefault="00532D35">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לאחר סקירת הוראות המכרז ומערכת ההסכמים שנכרתו בקשר לפרויקט, יידונו </w:t>
      </w:r>
      <w:r w:rsidR="00771BEF">
        <w:rPr>
          <w:rFonts w:hint="cs" w:ascii="David" w:hAnsi="David" w:cs="David"/>
          <w:sz w:val="24"/>
          <w:szCs w:val="24"/>
          <w:rtl/>
        </w:rPr>
        <w:t xml:space="preserve">להלן </w:t>
      </w:r>
      <w:r>
        <w:rPr>
          <w:rFonts w:hint="cs" w:ascii="David" w:hAnsi="David" w:cs="David"/>
          <w:sz w:val="24"/>
          <w:szCs w:val="24"/>
          <w:rtl/>
        </w:rPr>
        <w:t xml:space="preserve">שלוש המחלוקות העיקריות העומדות על הפרק: הראשונה, </w:t>
      </w:r>
      <w:r w:rsidR="00A37CB7">
        <w:rPr>
          <w:rFonts w:hint="cs" w:ascii="David" w:hAnsi="David" w:cs="David"/>
          <w:sz w:val="24"/>
          <w:szCs w:val="24"/>
          <w:rtl/>
        </w:rPr>
        <w:t xml:space="preserve">והיא המרכזית, </w:t>
      </w:r>
      <w:r>
        <w:rPr>
          <w:rFonts w:hint="cs" w:ascii="David" w:hAnsi="David" w:cs="David"/>
          <w:sz w:val="24"/>
          <w:szCs w:val="24"/>
          <w:rtl/>
        </w:rPr>
        <w:t>בשאלת מועד תחילת שלב 05 ומסירת המגרש לתובעת; השני</w:t>
      </w:r>
      <w:r w:rsidR="00A37CB7">
        <w:rPr>
          <w:rFonts w:hint="cs" w:ascii="David" w:hAnsi="David" w:cs="David"/>
          <w:sz w:val="24"/>
          <w:szCs w:val="24"/>
          <w:rtl/>
        </w:rPr>
        <w:t>י</w:t>
      </w:r>
      <w:r>
        <w:rPr>
          <w:rFonts w:hint="cs" w:ascii="David" w:hAnsi="David" w:cs="David"/>
          <w:sz w:val="24"/>
          <w:szCs w:val="24"/>
          <w:rtl/>
        </w:rPr>
        <w:t xml:space="preserve">ה, ביחס לפערי המדדים שנוצרו עד לחתימתם </w:t>
      </w:r>
      <w:r w:rsidR="00A37CB7">
        <w:rPr>
          <w:rFonts w:hint="cs" w:ascii="David" w:hAnsi="David" w:cs="David"/>
          <w:sz w:val="24"/>
          <w:szCs w:val="24"/>
          <w:rtl/>
        </w:rPr>
        <w:t xml:space="preserve">של </w:t>
      </w:r>
      <w:r>
        <w:rPr>
          <w:rFonts w:hint="cs" w:ascii="David" w:hAnsi="David" w:cs="David"/>
          <w:sz w:val="24"/>
          <w:szCs w:val="24"/>
          <w:rtl/>
        </w:rPr>
        <w:t>הסכמי המכר מול הרוכשים</w:t>
      </w:r>
      <w:r w:rsidR="00A37CB7">
        <w:rPr>
          <w:rFonts w:hint="cs" w:ascii="David" w:hAnsi="David" w:cs="David"/>
          <w:sz w:val="24"/>
          <w:szCs w:val="24"/>
          <w:rtl/>
        </w:rPr>
        <w:t>; השלישית, בי</w:t>
      </w:r>
      <w:r w:rsidR="00771BEF">
        <w:rPr>
          <w:rFonts w:hint="cs" w:ascii="David" w:hAnsi="David" w:cs="David"/>
          <w:sz w:val="24"/>
          <w:szCs w:val="24"/>
          <w:rtl/>
        </w:rPr>
        <w:t>חס למועד מסירת הדירות.</w:t>
      </w:r>
    </w:p>
    <w:p w:rsidR="00C812D4" w:rsidP="001B7E2A" w:rsidRDefault="001B7E2A">
      <w:pPr>
        <w:pStyle w:val="ad"/>
        <w:spacing w:after="240" w:line="360" w:lineRule="auto"/>
        <w:ind w:left="284" w:right="-170"/>
        <w:contextualSpacing w:val="0"/>
        <w:jc w:val="both"/>
        <w:rPr>
          <w:rFonts w:ascii="David" w:hAnsi="David" w:cs="David"/>
          <w:sz w:val="24"/>
          <w:szCs w:val="24"/>
        </w:rPr>
      </w:pPr>
      <w:r>
        <w:rPr>
          <w:rFonts w:hint="cs" w:ascii="David" w:hAnsi="David" w:cs="David"/>
          <w:sz w:val="24"/>
          <w:szCs w:val="24"/>
          <w:u w:val="single"/>
          <w:rtl/>
        </w:rPr>
        <w:t>הוראות המכרז ו</w:t>
      </w:r>
      <w:r w:rsidR="00C812D4">
        <w:rPr>
          <w:rFonts w:ascii="David" w:hAnsi="David" w:cs="David"/>
          <w:sz w:val="24"/>
          <w:szCs w:val="24"/>
          <w:u w:val="single"/>
          <w:rtl/>
        </w:rPr>
        <w:t xml:space="preserve">מערכת ההסכמים </w:t>
      </w:r>
    </w:p>
    <w:p w:rsidR="00C812D4" w:rsidP="0043727D" w:rsidRDefault="0043727D">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במהלך שנת 2015 </w:t>
      </w:r>
      <w:r w:rsidR="00A5107C">
        <w:rPr>
          <w:rFonts w:hint="cs" w:ascii="David" w:hAnsi="David" w:cs="David"/>
          <w:sz w:val="24"/>
          <w:szCs w:val="24"/>
          <w:rtl/>
        </w:rPr>
        <w:t xml:space="preserve">נחתם הסכם גג </w:t>
      </w:r>
      <w:r w:rsidR="00C812D4">
        <w:rPr>
          <w:rFonts w:ascii="David" w:hAnsi="David" w:cs="David"/>
          <w:sz w:val="24"/>
          <w:szCs w:val="24"/>
          <w:rtl/>
        </w:rPr>
        <w:t>בין רשות מקרקעי ישראל (רמ"י), עיריית אשקלון והחברה הכלכלית לאשקלון. מטרתו העיקרית הייתה לשחרר חסמי תכנון בעתודות קרקע גדולות ולהביא לשחרור היתרי בנייה בזמן הקצר ביותר.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במסגרת הסכם הגג, התחייבו העירייה והחברה הכלכלית, או מי מטעמן, לתכנן ולבצע את עבודות הפיתוח והתשתיות הציבוריות בתחום התכנית, למסור את המגרשים ליזמים, ולאשר בקשות להיתרי בנייה במהירות. כמו כן, התחייבו לחתום עם הזוכים במכרז על חוזה לביצוע תשתיות ציבוריות.</w:t>
      </w:r>
    </w:p>
    <w:p w:rsidR="00C812D4" w:rsidP="00A5107C" w:rsidRDefault="00A5107C">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ביום 16.5.2016 </w:t>
      </w:r>
      <w:r w:rsidR="00C812D4">
        <w:rPr>
          <w:rFonts w:ascii="David" w:hAnsi="David" w:cs="David"/>
          <w:sz w:val="24"/>
          <w:szCs w:val="24"/>
          <w:rtl/>
        </w:rPr>
        <w:t>התובעת זכתה במכרז מספר 2015/337/ים</w:t>
      </w:r>
      <w:r>
        <w:rPr>
          <w:rFonts w:hint="cs" w:ascii="David" w:hAnsi="David" w:cs="David"/>
          <w:sz w:val="24"/>
          <w:szCs w:val="24"/>
          <w:rtl/>
        </w:rPr>
        <w:t>,</w:t>
      </w:r>
      <w:r w:rsidR="00C812D4">
        <w:rPr>
          <w:rFonts w:ascii="David" w:hAnsi="David" w:cs="David"/>
          <w:sz w:val="24"/>
          <w:szCs w:val="24"/>
          <w:rtl/>
        </w:rPr>
        <w:t xml:space="preserve"> לרכישת זכויות חכירה במגרשים 13 ו-14 בשכונת עיר ימים באשקלון, לצורך בניית דירות מחיר למשתכן. המכרז קבע את התנאים המחייבים לפרויקט.</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סעיף 3.3.10 למכרז קובע, כדלקמן:</w:t>
      </w:r>
    </w:p>
    <w:p w:rsidR="00C812D4" w:rsidP="00607AAB" w:rsidRDefault="00C812D4">
      <w:pPr>
        <w:pStyle w:val="ad"/>
        <w:spacing w:after="240" w:line="276" w:lineRule="auto"/>
        <w:ind w:left="737" w:right="737"/>
        <w:contextualSpacing w:val="0"/>
        <w:jc w:val="both"/>
        <w:rPr>
          <w:rFonts w:ascii="David" w:hAnsi="David" w:cs="David"/>
          <w:sz w:val="24"/>
          <w:szCs w:val="24"/>
        </w:rPr>
      </w:pPr>
      <w:r>
        <w:rPr>
          <w:rFonts w:ascii="David" w:hAnsi="David" w:cs="David"/>
          <w:sz w:val="24"/>
          <w:szCs w:val="24"/>
          <w:rtl/>
        </w:rPr>
        <w:t xml:space="preserve">"מחיר דירת מחיר למשתכן יוצמד למדד תשומות הבנייה החל מהמדד שיהא ידוע במועד האחרון להגשת ההצעות במכרז ועד למדד שיהא ידוע, ביום החתימה על חוזה המכר או עד למדד </w:t>
      </w:r>
      <w:r w:rsidR="00607AAB">
        <w:rPr>
          <w:rFonts w:hint="cs" w:ascii="David" w:hAnsi="David" w:cs="David"/>
          <w:sz w:val="24"/>
          <w:szCs w:val="24"/>
          <w:rtl/>
        </w:rPr>
        <w:t>שיהא</w:t>
      </w:r>
      <w:r>
        <w:rPr>
          <w:rFonts w:ascii="David" w:hAnsi="David" w:cs="David"/>
          <w:sz w:val="24"/>
          <w:szCs w:val="24"/>
          <w:rtl/>
        </w:rPr>
        <w:t xml:space="preserve"> ידוע במועד של 20 חודשים לאחר שלב הבנייה 05 לפי המוקדם מבניהם. מחיר דירת מחיר למשתכן שיקבע בהסכם המכר בין הזוכה /היזם לבין רוכש הדירה יהיה בהתאם לאמור. הזוכה/יזם רשאי להצמיד את התשלומים שנגזרים מהמחיר האמור בהתאם לכללים הקבועים בסעיף 5 לנספח ג'6 לחוזה הבנייה (תנאים בחוזה אחיד בין היזם לרוכש הדירה)."</w:t>
      </w:r>
    </w:p>
    <w:p w:rsidR="00C812D4" w:rsidP="00791429"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 xml:space="preserve">סעיף זה של תנאי המכרז ביחס לאופן ההצמדה של מחיר הדירות למדד תשומות הבנייה, </w:t>
      </w:r>
      <w:r w:rsidR="00595947">
        <w:rPr>
          <w:rFonts w:hint="cs" w:ascii="David" w:hAnsi="David" w:cs="David"/>
          <w:sz w:val="24"/>
          <w:szCs w:val="24"/>
          <w:rtl/>
        </w:rPr>
        <w:t>קיבל ביטוי במסגרת סעיף 14 לנספח התנאים המיוחדים (מסלול מחיר למשתכן) של חוזה החכירה</w:t>
      </w:r>
      <w:r w:rsidR="00791429">
        <w:rPr>
          <w:rFonts w:hint="cs" w:ascii="David" w:hAnsi="David" w:cs="David"/>
          <w:sz w:val="24"/>
          <w:szCs w:val="24"/>
          <w:rtl/>
        </w:rPr>
        <w:t xml:space="preserve"> אשר נחתם </w:t>
      </w:r>
      <w:r w:rsidR="00791429">
        <w:rPr>
          <w:rFonts w:ascii="David" w:hAnsi="David" w:cs="David"/>
          <w:sz w:val="24"/>
          <w:szCs w:val="24"/>
          <w:rtl/>
        </w:rPr>
        <w:t xml:space="preserve">ביום 12.12.2016 בין התובעת </w:t>
      </w:r>
      <w:r w:rsidR="00791429">
        <w:rPr>
          <w:rFonts w:hint="cs" w:ascii="David" w:hAnsi="David" w:cs="David"/>
          <w:sz w:val="24"/>
          <w:szCs w:val="24"/>
          <w:rtl/>
        </w:rPr>
        <w:t>ו</w:t>
      </w:r>
      <w:r w:rsidR="00791429">
        <w:rPr>
          <w:rFonts w:ascii="David" w:hAnsi="David" w:cs="David"/>
          <w:sz w:val="24"/>
          <w:szCs w:val="24"/>
          <w:rtl/>
        </w:rPr>
        <w:t>בין ר</w:t>
      </w:r>
      <w:r w:rsidR="00791429">
        <w:rPr>
          <w:rFonts w:hint="cs" w:ascii="David" w:hAnsi="David" w:cs="David"/>
          <w:sz w:val="24"/>
          <w:szCs w:val="24"/>
          <w:rtl/>
        </w:rPr>
        <w:t xml:space="preserve">מ"י. הוראות הסעיף האמור הן </w:t>
      </w:r>
      <w:r>
        <w:rPr>
          <w:rFonts w:ascii="David" w:hAnsi="David" w:cs="David"/>
          <w:sz w:val="24"/>
          <w:szCs w:val="24"/>
          <w:rtl/>
        </w:rPr>
        <w:t>העומד</w:t>
      </w:r>
      <w:r w:rsidR="00791429">
        <w:rPr>
          <w:rFonts w:hint="cs" w:ascii="David" w:hAnsi="David" w:cs="David"/>
          <w:sz w:val="24"/>
          <w:szCs w:val="24"/>
          <w:rtl/>
        </w:rPr>
        <w:t>ות</w:t>
      </w:r>
      <w:r>
        <w:rPr>
          <w:rFonts w:ascii="David" w:hAnsi="David" w:cs="David"/>
          <w:sz w:val="24"/>
          <w:szCs w:val="24"/>
          <w:rtl/>
        </w:rPr>
        <w:t xml:space="preserve"> ביסוד המחלוקת הנדונה בהליך זה.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מטבע הדברים, לפי תנאי המכרז, מנגנון ההצמדה המחייב מתחיל במועד הגשת ההצעות למכרז. ביחס למועד שעד אליו יוצמדו מחירי הדירות, קובעים תנאי המכרז שני מועדים, לפי המוקדם מבניהם: האחד, הצמדה עד למועד החתימה על חוזה המכר; השני, הצמדה עד למועד של 20 חודשים לאחר שלב הבנייה 05.</w:t>
      </w:r>
    </w:p>
    <w:p w:rsidR="00F73A51" w:rsidP="00F73A51" w:rsidRDefault="00F73A51">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ה</w:t>
      </w:r>
      <w:r w:rsidR="001B7E2A">
        <w:rPr>
          <w:rFonts w:hint="cs" w:ascii="David" w:hAnsi="David" w:cs="David"/>
          <w:sz w:val="24"/>
          <w:szCs w:val="24"/>
          <w:rtl/>
        </w:rPr>
        <w:t xml:space="preserve">תכלית </w:t>
      </w:r>
      <w:r>
        <w:rPr>
          <w:rFonts w:hint="cs" w:ascii="David" w:hAnsi="David" w:cs="David"/>
          <w:sz w:val="24"/>
          <w:szCs w:val="24"/>
          <w:rtl/>
        </w:rPr>
        <w:t xml:space="preserve">של </w:t>
      </w:r>
      <w:r w:rsidR="001B7E2A">
        <w:rPr>
          <w:rFonts w:hint="cs" w:ascii="David" w:hAnsi="David" w:cs="David"/>
          <w:sz w:val="24"/>
          <w:szCs w:val="24"/>
          <w:rtl/>
        </w:rPr>
        <w:t xml:space="preserve">ההוראה בדבר </w:t>
      </w:r>
      <w:r>
        <w:rPr>
          <w:rFonts w:hint="cs" w:ascii="David" w:hAnsi="David" w:cs="David"/>
          <w:sz w:val="24"/>
          <w:szCs w:val="24"/>
          <w:rtl/>
        </w:rPr>
        <w:t xml:space="preserve">קביעת </w:t>
      </w:r>
      <w:r w:rsidR="001B7E2A">
        <w:rPr>
          <w:rFonts w:hint="cs" w:ascii="David" w:hAnsi="David" w:cs="David"/>
          <w:sz w:val="24"/>
          <w:szCs w:val="24"/>
          <w:rtl/>
        </w:rPr>
        <w:t xml:space="preserve">מגבלה על תקופת ההצמדה </w:t>
      </w:r>
      <w:r>
        <w:rPr>
          <w:rFonts w:hint="cs" w:ascii="David" w:hAnsi="David" w:cs="David"/>
          <w:sz w:val="24"/>
          <w:szCs w:val="24"/>
          <w:rtl/>
        </w:rPr>
        <w:t xml:space="preserve">היא ברורה: יצירת מגנון המגביל את תקופת ההצמדה הטרום חוזית, וכך </w:t>
      </w:r>
      <w:r w:rsidRPr="00F73A51">
        <w:rPr>
          <w:rFonts w:ascii="David" w:hAnsi="David" w:cs="David"/>
          <w:sz w:val="24"/>
          <w:szCs w:val="24"/>
          <w:rtl/>
        </w:rPr>
        <w:t xml:space="preserve">להגן על רוכשי הדירות </w:t>
      </w:r>
      <w:r>
        <w:rPr>
          <w:rFonts w:hint="cs" w:ascii="David" w:hAnsi="David" w:cs="David"/>
          <w:sz w:val="24"/>
          <w:szCs w:val="24"/>
          <w:rtl/>
        </w:rPr>
        <w:t xml:space="preserve">בפרויקט "מחיר למשתכן" </w:t>
      </w:r>
      <w:r w:rsidRPr="00F73A51">
        <w:rPr>
          <w:rFonts w:ascii="David" w:hAnsi="David" w:cs="David"/>
          <w:sz w:val="24"/>
          <w:szCs w:val="24"/>
          <w:rtl/>
        </w:rPr>
        <w:t>מפני עליית מחירים בלתי מוגבלת, גם אם חתימת חוזה המכר מתעכבת</w:t>
      </w:r>
      <w:r>
        <w:rPr>
          <w:rFonts w:hint="cs" w:ascii="David" w:hAnsi="David" w:cs="David"/>
          <w:sz w:val="24"/>
          <w:szCs w:val="24"/>
          <w:rtl/>
        </w:rPr>
        <w:t xml:space="preserve">. היינו, מטרת מנגנון ההצמדה היא </w:t>
      </w:r>
      <w:r w:rsidR="001B7E2A">
        <w:rPr>
          <w:rFonts w:hint="cs" w:ascii="David" w:hAnsi="David" w:cs="David"/>
          <w:sz w:val="24"/>
          <w:szCs w:val="24"/>
          <w:rtl/>
        </w:rPr>
        <w:t xml:space="preserve">הגנה על רוכשי הדירות בפרויקט </w:t>
      </w:r>
      <w:r>
        <w:rPr>
          <w:rFonts w:hint="cs" w:ascii="David" w:hAnsi="David" w:cs="David"/>
          <w:sz w:val="24"/>
          <w:szCs w:val="24"/>
          <w:rtl/>
        </w:rPr>
        <w:t xml:space="preserve">"מחיר </w:t>
      </w:r>
      <w:r w:rsidR="001B7E2A">
        <w:rPr>
          <w:rFonts w:hint="cs" w:ascii="David" w:hAnsi="David" w:cs="David"/>
          <w:sz w:val="24"/>
          <w:szCs w:val="24"/>
          <w:rtl/>
        </w:rPr>
        <w:t>למשתכן</w:t>
      </w:r>
      <w:r>
        <w:rPr>
          <w:rFonts w:hint="cs" w:ascii="David" w:hAnsi="David" w:cs="David"/>
          <w:sz w:val="24"/>
          <w:szCs w:val="24"/>
          <w:rtl/>
        </w:rPr>
        <w:t>"</w:t>
      </w:r>
      <w:r w:rsidR="001B7E2A">
        <w:rPr>
          <w:rFonts w:hint="cs" w:ascii="David" w:hAnsi="David" w:cs="David"/>
          <w:sz w:val="24"/>
          <w:szCs w:val="24"/>
          <w:rtl/>
        </w:rPr>
        <w:t xml:space="preserve"> מפני עלייה של מחיר הדירה בשל התמשכות התקופה הקדם חוזית</w:t>
      </w:r>
      <w:r w:rsidR="00356EF0">
        <w:rPr>
          <w:rFonts w:hint="cs" w:ascii="David" w:hAnsi="David" w:cs="David"/>
          <w:sz w:val="24"/>
          <w:szCs w:val="24"/>
          <w:rtl/>
        </w:rPr>
        <w:t xml:space="preserve"> (להבדיל ממנגנון הצמדה שייקבע במסגרת הסכם המכר, אשר יחול ממועד חתימת ההסכם ועד למועדי התשלום בפועל)</w:t>
      </w:r>
      <w:r w:rsidR="001B7E2A">
        <w:rPr>
          <w:rFonts w:hint="cs" w:ascii="David" w:hAnsi="David" w:cs="David"/>
          <w:sz w:val="24"/>
          <w:szCs w:val="24"/>
          <w:rtl/>
        </w:rPr>
        <w:t xml:space="preserve">. </w:t>
      </w:r>
    </w:p>
    <w:p w:rsidR="00C812D4" w:rsidP="00A37CB7"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נוכח הוראה זו של המכרז, לפיה ההצמדה למדד תשומות הבנייה תוגבל לפרק זמן של "</w:t>
      </w:r>
      <w:r w:rsidR="00A37CB7">
        <w:rPr>
          <w:rFonts w:ascii="David" w:hAnsi="David" w:cs="David"/>
          <w:sz w:val="24"/>
          <w:szCs w:val="24"/>
          <w:rtl/>
        </w:rPr>
        <w:t>20 חודשים לאחר שלב הבנייה 05</w:t>
      </w:r>
      <w:r>
        <w:rPr>
          <w:rFonts w:ascii="David" w:hAnsi="David" w:cs="David"/>
          <w:sz w:val="24"/>
          <w:szCs w:val="24"/>
          <w:rtl/>
        </w:rPr>
        <w:t>" יש להכריע בהליך זה בקביעת מועד "שלב הבנייה 05". זאת, מכיוון שהתובעת זכאית להצמיד את מחירי הדירות רק לפרק זמן של 20 חודשים לאחר שלב הבנייה 05.</w:t>
      </w:r>
    </w:p>
    <w:p w:rsidR="00C812D4" w:rsidP="00A93A3E"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A37CB7">
        <w:rPr>
          <w:rFonts w:ascii="David" w:hAnsi="David" w:cs="David"/>
          <w:sz w:val="24"/>
          <w:szCs w:val="24"/>
          <w:rtl/>
        </w:rPr>
        <w:t>שלב בנייה 05 מוגדר במספר הסכמים ומסמכים</w:t>
      </w:r>
      <w:r w:rsidR="002C5A17">
        <w:rPr>
          <w:rFonts w:hint="cs" w:ascii="David" w:hAnsi="David" w:cs="David"/>
          <w:sz w:val="24"/>
          <w:szCs w:val="24"/>
          <w:rtl/>
        </w:rPr>
        <w:t xml:space="preserve"> אשר נחתמו בקשר לפרויקט</w:t>
      </w:r>
      <w:r>
        <w:rPr>
          <w:rFonts w:ascii="David" w:hAnsi="David" w:cs="David"/>
          <w:sz w:val="24"/>
          <w:szCs w:val="24"/>
          <w:rtl/>
        </w:rPr>
        <w:t xml:space="preserve">, </w:t>
      </w:r>
      <w:r w:rsidR="00A93A3E">
        <w:rPr>
          <w:rFonts w:hint="cs" w:ascii="David" w:hAnsi="David" w:cs="David"/>
          <w:sz w:val="24"/>
          <w:szCs w:val="24"/>
          <w:rtl/>
        </w:rPr>
        <w:t>אשר ה</w:t>
      </w:r>
      <w:r w:rsidR="00A5107C">
        <w:rPr>
          <w:rFonts w:hint="cs" w:ascii="David" w:hAnsi="David" w:cs="David"/>
          <w:sz w:val="24"/>
          <w:szCs w:val="24"/>
          <w:rtl/>
        </w:rPr>
        <w:t>נוסח</w:t>
      </w:r>
      <w:r w:rsidR="00A93A3E">
        <w:rPr>
          <w:rFonts w:hint="cs" w:ascii="David" w:hAnsi="David" w:cs="David"/>
          <w:sz w:val="24"/>
          <w:szCs w:val="24"/>
          <w:rtl/>
        </w:rPr>
        <w:t xml:space="preserve">ים שלהם </w:t>
      </w:r>
      <w:r w:rsidR="00A5107C">
        <w:rPr>
          <w:rFonts w:hint="cs" w:ascii="David" w:hAnsi="David" w:cs="David"/>
          <w:sz w:val="24"/>
          <w:szCs w:val="24"/>
          <w:rtl/>
        </w:rPr>
        <w:t>צורפו כנספחים למסמכי המכרז.</w:t>
      </w:r>
    </w:p>
    <w:p w:rsidR="00C812D4" w:rsidP="009F2E49" w:rsidRDefault="009F2E49">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ב</w:t>
      </w:r>
      <w:r>
        <w:rPr>
          <w:rFonts w:ascii="David" w:hAnsi="David" w:cs="David"/>
          <w:sz w:val="24"/>
          <w:szCs w:val="24"/>
          <w:rtl/>
        </w:rPr>
        <w:t xml:space="preserve">יום 12.12.2016, נחתם הסכם בנייה בין התובעת </w:t>
      </w:r>
      <w:r>
        <w:rPr>
          <w:rFonts w:hint="cs" w:ascii="David" w:hAnsi="David" w:cs="David"/>
          <w:sz w:val="24"/>
          <w:szCs w:val="24"/>
          <w:rtl/>
        </w:rPr>
        <w:t>ו</w:t>
      </w:r>
      <w:r>
        <w:rPr>
          <w:rFonts w:ascii="David" w:hAnsi="David" w:cs="David"/>
          <w:sz w:val="24"/>
          <w:szCs w:val="24"/>
          <w:rtl/>
        </w:rPr>
        <w:t>בין ממשלת ישראל (בשם מדינת ישראל), לגבי המגרשים.</w:t>
      </w:r>
      <w:r>
        <w:rPr>
          <w:rFonts w:hint="cs" w:ascii="David" w:hAnsi="David" w:cs="David"/>
          <w:sz w:val="24"/>
          <w:szCs w:val="24"/>
          <w:rtl/>
        </w:rPr>
        <w:t xml:space="preserve"> </w:t>
      </w:r>
      <w:r w:rsidR="00A5107C">
        <w:rPr>
          <w:rFonts w:hint="cs" w:ascii="David" w:hAnsi="David" w:cs="David"/>
          <w:sz w:val="24"/>
          <w:szCs w:val="24"/>
          <w:rtl/>
        </w:rPr>
        <w:t>ב</w:t>
      </w:r>
      <w:r w:rsidR="00C812D4">
        <w:rPr>
          <w:rFonts w:ascii="David" w:hAnsi="David" w:cs="David"/>
          <w:sz w:val="24"/>
          <w:szCs w:val="24"/>
          <w:rtl/>
        </w:rPr>
        <w:t xml:space="preserve">חוזה הבנייה </w:t>
      </w:r>
      <w:r w:rsidR="00A5107C">
        <w:rPr>
          <w:rFonts w:hint="cs" w:ascii="David" w:hAnsi="David" w:cs="David"/>
          <w:sz w:val="24"/>
          <w:szCs w:val="24"/>
          <w:rtl/>
        </w:rPr>
        <w:t>אשר עליו חתמה התובעת (</w:t>
      </w:r>
      <w:r w:rsidR="00C812D4">
        <w:rPr>
          <w:rFonts w:ascii="David" w:hAnsi="David" w:cs="David"/>
          <w:sz w:val="24"/>
          <w:szCs w:val="24"/>
          <w:rtl/>
        </w:rPr>
        <w:t>נספח ג' למכרז</w:t>
      </w:r>
      <w:r w:rsidR="00A5107C">
        <w:rPr>
          <w:rFonts w:hint="cs" w:ascii="David" w:hAnsi="David" w:cs="David"/>
          <w:sz w:val="24"/>
          <w:szCs w:val="24"/>
          <w:rtl/>
        </w:rPr>
        <w:t xml:space="preserve"> - </w:t>
      </w:r>
      <w:r w:rsidR="00C812D4">
        <w:rPr>
          <w:rFonts w:ascii="David" w:hAnsi="David" w:cs="David"/>
          <w:sz w:val="24"/>
          <w:szCs w:val="24"/>
          <w:rtl/>
        </w:rPr>
        <w:t xml:space="preserve">נוסח חוזה הבנייה) ההגדרה </w:t>
      </w:r>
      <w:r w:rsidR="00A5107C">
        <w:rPr>
          <w:rFonts w:hint="cs" w:ascii="David" w:hAnsi="David" w:cs="David"/>
          <w:sz w:val="24"/>
          <w:szCs w:val="24"/>
          <w:rtl/>
        </w:rPr>
        <w:t xml:space="preserve">של </w:t>
      </w:r>
      <w:r w:rsidR="00F064E9">
        <w:rPr>
          <w:rFonts w:hint="cs" w:ascii="David" w:hAnsi="David" w:cs="David"/>
          <w:sz w:val="24"/>
          <w:szCs w:val="24"/>
          <w:rtl/>
        </w:rPr>
        <w:t xml:space="preserve">שלב הבנייה 05 </w:t>
      </w:r>
      <w:r w:rsidR="00C812D4">
        <w:rPr>
          <w:rFonts w:ascii="David" w:hAnsi="David" w:cs="David"/>
          <w:sz w:val="24"/>
          <w:szCs w:val="24"/>
          <w:rtl/>
        </w:rPr>
        <w:t>היא: "מסירת פינות המגרש ליזם ומסירת האחריות על המגרש ליזם, בכפוף להמצאת נספח ביטוח על ידי היזם".</w:t>
      </w:r>
    </w:p>
    <w:p w:rsidR="00C812D4" w:rsidP="00607AAB" w:rsidRDefault="00A5107C">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ב</w:t>
      </w:r>
      <w:r w:rsidR="00096225">
        <w:rPr>
          <w:rFonts w:hint="cs" w:ascii="David" w:hAnsi="David" w:cs="David"/>
          <w:sz w:val="24"/>
          <w:szCs w:val="24"/>
          <w:rtl/>
        </w:rPr>
        <w:t>נספח הנלווה ל</w:t>
      </w:r>
      <w:r w:rsidR="00C812D4">
        <w:rPr>
          <w:rFonts w:ascii="David" w:hAnsi="David" w:cs="David"/>
          <w:sz w:val="24"/>
          <w:szCs w:val="24"/>
          <w:rtl/>
        </w:rPr>
        <w:t xml:space="preserve">חוזה החכירה </w:t>
      </w:r>
      <w:r>
        <w:rPr>
          <w:rFonts w:hint="cs" w:ascii="David" w:hAnsi="David" w:cs="David"/>
          <w:sz w:val="24"/>
          <w:szCs w:val="24"/>
          <w:rtl/>
        </w:rPr>
        <w:t>(נ</w:t>
      </w:r>
      <w:r w:rsidR="00C812D4">
        <w:rPr>
          <w:rFonts w:ascii="David" w:hAnsi="David" w:cs="David"/>
          <w:sz w:val="24"/>
          <w:szCs w:val="24"/>
          <w:rtl/>
        </w:rPr>
        <w:t>ספח ב' למכרז</w:t>
      </w:r>
      <w:r>
        <w:rPr>
          <w:rFonts w:hint="cs" w:ascii="David" w:hAnsi="David" w:cs="David"/>
          <w:sz w:val="24"/>
          <w:szCs w:val="24"/>
          <w:rtl/>
        </w:rPr>
        <w:t xml:space="preserve"> - </w:t>
      </w:r>
      <w:r w:rsidR="00C812D4">
        <w:rPr>
          <w:rFonts w:ascii="David" w:hAnsi="David" w:cs="David"/>
          <w:sz w:val="24"/>
          <w:szCs w:val="24"/>
          <w:rtl/>
        </w:rPr>
        <w:t xml:space="preserve">נוסח חוזה החכירה) </w:t>
      </w:r>
      <w:r w:rsidR="002C5A17">
        <w:rPr>
          <w:rFonts w:hint="cs" w:ascii="David" w:hAnsi="David" w:cs="David"/>
          <w:sz w:val="24"/>
          <w:szCs w:val="24"/>
          <w:rtl/>
        </w:rPr>
        <w:t>יש הפנייה ל</w:t>
      </w:r>
      <w:r w:rsidR="00096225">
        <w:rPr>
          <w:rFonts w:hint="cs" w:ascii="David" w:hAnsi="David" w:cs="David"/>
          <w:sz w:val="24"/>
          <w:szCs w:val="24"/>
          <w:rtl/>
        </w:rPr>
        <w:t xml:space="preserve">לוחות הזמנים לביצוע חוזה </w:t>
      </w:r>
      <w:r w:rsidR="002C5A17">
        <w:rPr>
          <w:rFonts w:hint="cs" w:ascii="David" w:hAnsi="David" w:cs="David"/>
          <w:sz w:val="24"/>
          <w:szCs w:val="24"/>
          <w:rtl/>
        </w:rPr>
        <w:t>ה</w:t>
      </w:r>
      <w:r w:rsidR="00096225">
        <w:rPr>
          <w:rFonts w:hint="cs" w:ascii="David" w:hAnsi="David" w:cs="David"/>
          <w:sz w:val="24"/>
          <w:szCs w:val="24"/>
          <w:rtl/>
        </w:rPr>
        <w:t>בנייה ובכלל ז</w:t>
      </w:r>
      <w:r w:rsidR="00607AAB">
        <w:rPr>
          <w:rFonts w:hint="cs" w:ascii="David" w:hAnsi="David" w:cs="David"/>
          <w:sz w:val="24"/>
          <w:szCs w:val="24"/>
          <w:rtl/>
        </w:rPr>
        <w:t>ה</w:t>
      </w:r>
      <w:r w:rsidR="00096225">
        <w:rPr>
          <w:rFonts w:hint="cs" w:ascii="David" w:hAnsi="David" w:cs="David"/>
          <w:sz w:val="24"/>
          <w:szCs w:val="24"/>
          <w:rtl/>
        </w:rPr>
        <w:t xml:space="preserve"> </w:t>
      </w:r>
      <w:r w:rsidR="00F064E9">
        <w:rPr>
          <w:rFonts w:hint="cs" w:ascii="David" w:hAnsi="David" w:cs="David"/>
          <w:sz w:val="24"/>
          <w:szCs w:val="24"/>
          <w:rtl/>
        </w:rPr>
        <w:t xml:space="preserve">נקבע כי </w:t>
      </w:r>
      <w:r w:rsidR="00096225">
        <w:rPr>
          <w:rFonts w:hint="cs" w:ascii="David" w:hAnsi="David" w:cs="David"/>
          <w:sz w:val="24"/>
          <w:szCs w:val="24"/>
          <w:rtl/>
        </w:rPr>
        <w:t xml:space="preserve">בתוך 27 חודשים </w:t>
      </w:r>
      <w:r w:rsidR="00F064E9">
        <w:rPr>
          <w:rFonts w:hint="cs" w:ascii="David" w:hAnsi="David" w:cs="David"/>
          <w:sz w:val="24"/>
          <w:szCs w:val="24"/>
          <w:rtl/>
        </w:rPr>
        <w:t>ייערך שלב הבנייה 05 המוגדר כ</w:t>
      </w:r>
      <w:r w:rsidR="00C812D4">
        <w:rPr>
          <w:rFonts w:ascii="David" w:hAnsi="David" w:cs="David"/>
          <w:sz w:val="24"/>
          <w:szCs w:val="24"/>
          <w:rtl/>
        </w:rPr>
        <w:t>: "מועד מסירת המגרש ליזם לצורך בנייה".</w:t>
      </w:r>
    </w:p>
    <w:p w:rsidRPr="004D5BC4" w:rsidR="00C812D4" w:rsidP="000D4F80"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4D5BC4">
        <w:rPr>
          <w:rFonts w:ascii="David" w:hAnsi="David" w:cs="David"/>
          <w:sz w:val="24"/>
          <w:szCs w:val="24"/>
          <w:rtl/>
        </w:rPr>
        <w:t>ביום 4.7.2016 נחתם הסכם בין התובעת לבין עיריית אשקלון והחברה הכלכלית לאשקלון, לביצוע תשתיות ציבוריות במגרשים.</w:t>
      </w:r>
      <w:r w:rsidRPr="004D5BC4" w:rsidR="002C5A17">
        <w:rPr>
          <w:rFonts w:hint="cs" w:ascii="David" w:hAnsi="David" w:cs="David"/>
          <w:sz w:val="24"/>
          <w:szCs w:val="24"/>
          <w:rtl/>
        </w:rPr>
        <w:t xml:space="preserve"> </w:t>
      </w:r>
    </w:p>
    <w:p w:rsidRPr="004D5BC4" w:rsidR="00C812D4" w:rsidP="004D5BC4"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4D5BC4">
        <w:rPr>
          <w:rFonts w:ascii="David" w:hAnsi="David" w:cs="David"/>
          <w:sz w:val="24"/>
          <w:szCs w:val="24"/>
          <w:rtl/>
        </w:rPr>
        <w:lastRenderedPageBreak/>
        <w:t xml:space="preserve">סעיף </w:t>
      </w:r>
      <w:r w:rsidRPr="004D5BC4" w:rsidR="004D5BC4">
        <w:rPr>
          <w:rFonts w:hint="cs" w:ascii="David" w:hAnsi="David" w:cs="David"/>
          <w:sz w:val="24"/>
          <w:szCs w:val="24"/>
          <w:rtl/>
        </w:rPr>
        <w:t>5</w:t>
      </w:r>
      <w:r w:rsidRPr="004D5BC4">
        <w:rPr>
          <w:rFonts w:ascii="David" w:hAnsi="David" w:cs="David"/>
          <w:sz w:val="24"/>
          <w:szCs w:val="24"/>
          <w:rtl/>
        </w:rPr>
        <w:t>.2 להסכם התשתיות קובע</w:t>
      </w:r>
      <w:r w:rsidRPr="004D5BC4" w:rsidR="004D5BC4">
        <w:rPr>
          <w:rFonts w:hint="cs" w:ascii="David" w:hAnsi="David" w:cs="David"/>
          <w:sz w:val="24"/>
          <w:szCs w:val="24"/>
          <w:rtl/>
        </w:rPr>
        <w:t xml:space="preserve"> כי </w:t>
      </w:r>
      <w:r w:rsidRPr="004D5BC4">
        <w:rPr>
          <w:rFonts w:ascii="David" w:hAnsi="David" w:cs="David"/>
          <w:sz w:val="24"/>
          <w:szCs w:val="24"/>
          <w:rtl/>
        </w:rPr>
        <w:t>היזם מתחייב לבצע את עבודות הבני</w:t>
      </w:r>
      <w:r w:rsidR="00607AAB">
        <w:rPr>
          <w:rFonts w:hint="cs" w:ascii="David" w:hAnsi="David" w:cs="David"/>
          <w:sz w:val="24"/>
          <w:szCs w:val="24"/>
          <w:rtl/>
        </w:rPr>
        <w:t>י</w:t>
      </w:r>
      <w:r w:rsidRPr="004D5BC4">
        <w:rPr>
          <w:rFonts w:ascii="David" w:hAnsi="David" w:cs="David"/>
          <w:sz w:val="24"/>
          <w:szCs w:val="24"/>
          <w:rtl/>
        </w:rPr>
        <w:t xml:space="preserve">ה בתחומי המגרש רק </w:t>
      </w:r>
      <w:r w:rsidRPr="004D5BC4" w:rsidR="004D5BC4">
        <w:rPr>
          <w:rFonts w:hint="cs" w:ascii="David" w:hAnsi="David" w:cs="David"/>
          <w:sz w:val="24"/>
          <w:szCs w:val="24"/>
          <w:rtl/>
        </w:rPr>
        <w:t>"</w:t>
      </w:r>
      <w:r w:rsidRPr="004D5BC4">
        <w:rPr>
          <w:rFonts w:ascii="David" w:hAnsi="David" w:cs="David"/>
          <w:sz w:val="24"/>
          <w:szCs w:val="24"/>
          <w:rtl/>
        </w:rPr>
        <w:t>לאחר מסירת המגרש לידיו לצורך בניה.</w:t>
      </w:r>
      <w:r w:rsidR="004D5BC4">
        <w:rPr>
          <w:rFonts w:hint="cs" w:ascii="David" w:hAnsi="David" w:cs="David"/>
          <w:sz w:val="24"/>
          <w:szCs w:val="24"/>
          <w:rtl/>
        </w:rPr>
        <w:t xml:space="preserve"> בהתאם לאמור בסעיף 6 </w:t>
      </w:r>
      <w:r w:rsidRPr="004D5BC4">
        <w:rPr>
          <w:rFonts w:ascii="David" w:hAnsi="David" w:cs="David"/>
          <w:sz w:val="24"/>
          <w:szCs w:val="24"/>
          <w:rtl/>
        </w:rPr>
        <w:t xml:space="preserve">מסירת המגרש, לצורך העניין, </w:t>
      </w:r>
      <w:r w:rsidR="004D5BC4">
        <w:rPr>
          <w:rFonts w:hint="cs" w:ascii="David" w:hAnsi="David" w:cs="David"/>
          <w:sz w:val="24"/>
          <w:szCs w:val="24"/>
          <w:rtl/>
        </w:rPr>
        <w:t>ת</w:t>
      </w:r>
      <w:r w:rsidRPr="004D5BC4">
        <w:rPr>
          <w:rFonts w:ascii="David" w:hAnsi="David" w:cs="David"/>
          <w:sz w:val="24"/>
          <w:szCs w:val="24"/>
          <w:rtl/>
        </w:rPr>
        <w:t>יחשב כמועד בו קיבל היזם את יתדות הסימון של המגרש מידי החברה".</w:t>
      </w:r>
    </w:p>
    <w:p w:rsidR="00C812D4" w:rsidP="00A93A3E"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סעיף</w:t>
      </w:r>
      <w:r w:rsidR="00BE0EE8">
        <w:rPr>
          <w:rFonts w:hint="cs" w:ascii="David" w:hAnsi="David" w:cs="David"/>
          <w:sz w:val="24"/>
          <w:szCs w:val="24"/>
          <w:rtl/>
        </w:rPr>
        <w:t xml:space="preserve"> 6.2 </w:t>
      </w:r>
      <w:r w:rsidR="00A93A3E">
        <w:rPr>
          <w:rFonts w:hint="cs" w:ascii="David" w:hAnsi="David" w:cs="David"/>
          <w:sz w:val="24"/>
          <w:szCs w:val="24"/>
          <w:rtl/>
        </w:rPr>
        <w:t xml:space="preserve">להסכם התשתיות </w:t>
      </w:r>
      <w:r w:rsidR="00BE0EE8">
        <w:rPr>
          <w:rFonts w:ascii="David" w:hAnsi="David" w:cs="David"/>
          <w:sz w:val="24"/>
          <w:szCs w:val="24"/>
          <w:rtl/>
        </w:rPr>
        <w:t xml:space="preserve">קובע: </w:t>
      </w:r>
      <w:r w:rsidRPr="00BE0EE8" w:rsidR="00BE0EE8">
        <w:rPr>
          <w:rFonts w:ascii="David" w:hAnsi="David" w:cs="David"/>
          <w:sz w:val="24"/>
          <w:szCs w:val="24"/>
        </w:rPr>
        <w:t>"</w:t>
      </w:r>
      <w:r w:rsidRPr="00BE0EE8" w:rsidR="00BE0EE8">
        <w:rPr>
          <w:rFonts w:ascii="David" w:hAnsi="David" w:cs="David"/>
          <w:sz w:val="24"/>
          <w:szCs w:val="24"/>
          <w:rtl/>
        </w:rPr>
        <w:t>היזם יקבל מהחברה הודעה על המועד בו יוכל לקבל את המגרש</w:t>
      </w:r>
      <w:r w:rsidR="00BE0EE8">
        <w:rPr>
          <w:rFonts w:hint="cs" w:ascii="David" w:hAnsi="David" w:cs="David"/>
          <w:sz w:val="24"/>
          <w:szCs w:val="24"/>
          <w:rtl/>
        </w:rPr>
        <w:t xml:space="preserve">, </w:t>
      </w:r>
      <w:r w:rsidRPr="00BE0EE8" w:rsidR="00BE0EE8">
        <w:rPr>
          <w:rFonts w:ascii="David" w:hAnsi="David" w:cs="David"/>
          <w:sz w:val="24"/>
          <w:szCs w:val="24"/>
          <w:rtl/>
        </w:rPr>
        <w:t>לאחר שסומנו גבולותיו, והוא מתחייב בזה לקבל מהחברה את המגרש המסומן במועד עליו יקבל ההודעה כאמור</w:t>
      </w:r>
      <w:r w:rsidR="00BE0EE8">
        <w:rPr>
          <w:rFonts w:hint="cs" w:ascii="David" w:hAnsi="David" w:cs="David"/>
          <w:sz w:val="24"/>
          <w:szCs w:val="24"/>
          <w:rtl/>
        </w:rPr>
        <w:t>. ב</w:t>
      </w:r>
      <w:r w:rsidRPr="00BE0EE8" w:rsidR="00BE0EE8">
        <w:rPr>
          <w:rFonts w:ascii="David" w:hAnsi="David" w:cs="David"/>
          <w:sz w:val="24"/>
          <w:szCs w:val="24"/>
          <w:rtl/>
        </w:rPr>
        <w:t>מועד קבלת המגרש המסומן יחתום היזם על אישור בדבר קבלת סימון המגרש וגבולותיו</w:t>
      </w:r>
      <w:r w:rsidR="000B503A">
        <w:rPr>
          <w:rFonts w:hint="cs" w:ascii="David" w:hAnsi="David" w:cs="David"/>
          <w:sz w:val="24"/>
          <w:szCs w:val="24"/>
          <w:rtl/>
        </w:rPr>
        <w:t xml:space="preserve">. </w:t>
      </w:r>
      <w:r w:rsidRPr="00BE0EE8" w:rsidR="00BE0EE8">
        <w:rPr>
          <w:rFonts w:ascii="David" w:hAnsi="David" w:cs="David"/>
          <w:sz w:val="24"/>
          <w:szCs w:val="24"/>
          <w:rtl/>
        </w:rPr>
        <w:t>נוסח ההודעה על מועד קבלת המגרש המסומן</w:t>
      </w:r>
      <w:r w:rsidR="000B503A">
        <w:rPr>
          <w:rFonts w:hint="cs" w:ascii="David" w:hAnsi="David" w:cs="David"/>
          <w:sz w:val="24"/>
          <w:szCs w:val="24"/>
          <w:rtl/>
        </w:rPr>
        <w:t xml:space="preserve"> (</w:t>
      </w:r>
      <w:r w:rsidRPr="00BE0EE8" w:rsidR="00BE0EE8">
        <w:rPr>
          <w:rFonts w:ascii="David" w:hAnsi="David" w:cs="David"/>
          <w:sz w:val="24"/>
          <w:szCs w:val="24"/>
          <w:rtl/>
        </w:rPr>
        <w:t>נספח ז'</w:t>
      </w:r>
      <w:r w:rsidR="000B503A">
        <w:rPr>
          <w:rFonts w:hint="cs" w:ascii="David" w:hAnsi="David" w:cs="David"/>
          <w:sz w:val="24"/>
          <w:szCs w:val="24"/>
          <w:rtl/>
        </w:rPr>
        <w:t>)</w:t>
      </w:r>
      <w:r w:rsidRPr="00BE0EE8" w:rsidR="00BE0EE8">
        <w:rPr>
          <w:rFonts w:ascii="David" w:hAnsi="David" w:cs="David"/>
          <w:sz w:val="24"/>
          <w:szCs w:val="24"/>
          <w:rtl/>
        </w:rPr>
        <w:t>,</w:t>
      </w:r>
      <w:r w:rsidR="000B503A">
        <w:rPr>
          <w:rFonts w:hint="cs" w:ascii="David" w:hAnsi="David" w:cs="David"/>
          <w:sz w:val="24"/>
          <w:szCs w:val="24"/>
          <w:rtl/>
        </w:rPr>
        <w:t xml:space="preserve"> </w:t>
      </w:r>
      <w:r w:rsidRPr="00BE0EE8" w:rsidR="00BE0EE8">
        <w:rPr>
          <w:rFonts w:ascii="David" w:hAnsi="David" w:cs="David"/>
          <w:sz w:val="24"/>
          <w:szCs w:val="24"/>
          <w:rtl/>
        </w:rPr>
        <w:t xml:space="preserve">ונוסח האישור על קבלת המגרש המסומן </w:t>
      </w:r>
      <w:r w:rsidR="000B503A">
        <w:rPr>
          <w:rFonts w:hint="cs" w:ascii="David" w:hAnsi="David" w:cs="David"/>
          <w:sz w:val="24"/>
          <w:szCs w:val="24"/>
          <w:rtl/>
        </w:rPr>
        <w:t>(</w:t>
      </w:r>
      <w:r w:rsidRPr="00BE0EE8" w:rsidR="00BE0EE8">
        <w:rPr>
          <w:rFonts w:ascii="David" w:hAnsi="David" w:cs="David"/>
          <w:sz w:val="24"/>
          <w:szCs w:val="24"/>
          <w:rtl/>
        </w:rPr>
        <w:t>נספח ח</w:t>
      </w:r>
      <w:r w:rsidR="00A93A3E">
        <w:rPr>
          <w:rFonts w:hint="cs" w:ascii="David" w:hAnsi="David" w:cs="David"/>
          <w:sz w:val="24"/>
          <w:szCs w:val="24"/>
          <w:rtl/>
        </w:rPr>
        <w:t>'</w:t>
      </w:r>
      <w:r w:rsidR="000B503A">
        <w:rPr>
          <w:rFonts w:hint="cs" w:ascii="David" w:hAnsi="David" w:cs="David"/>
          <w:sz w:val="24"/>
          <w:szCs w:val="24"/>
          <w:rtl/>
        </w:rPr>
        <w:t>)</w:t>
      </w:r>
      <w:r w:rsidRPr="00BE0EE8" w:rsidR="00BE0EE8">
        <w:rPr>
          <w:rFonts w:ascii="David" w:hAnsi="David" w:cs="David"/>
          <w:sz w:val="24"/>
          <w:szCs w:val="24"/>
          <w:rtl/>
        </w:rPr>
        <w:t>, מצורפים כנספחים לחוזה זה</w:t>
      </w:r>
      <w:r w:rsidR="000B503A">
        <w:rPr>
          <w:rFonts w:hint="cs" w:ascii="David" w:hAnsi="David" w:cs="David"/>
          <w:sz w:val="24"/>
          <w:szCs w:val="24"/>
          <w:rtl/>
        </w:rPr>
        <w:t xml:space="preserve">. </w:t>
      </w:r>
      <w:r w:rsidRPr="00BE0EE8" w:rsidR="00BE0EE8">
        <w:rPr>
          <w:rFonts w:ascii="David" w:hAnsi="David" w:cs="David"/>
          <w:sz w:val="24"/>
          <w:szCs w:val="24"/>
          <w:rtl/>
        </w:rPr>
        <w:t>במידה ולא יופיע היזם לקבל מאת החברה את המגרש המסומן</w:t>
      </w:r>
      <w:r w:rsidR="000B503A">
        <w:rPr>
          <w:rFonts w:hint="cs" w:ascii="David" w:hAnsi="David" w:cs="David"/>
          <w:sz w:val="24"/>
          <w:szCs w:val="24"/>
          <w:rtl/>
        </w:rPr>
        <w:t xml:space="preserve">, </w:t>
      </w:r>
      <w:r w:rsidRPr="00BE0EE8" w:rsidR="00BE0EE8">
        <w:rPr>
          <w:rFonts w:ascii="David" w:hAnsi="David" w:cs="David"/>
          <w:sz w:val="24"/>
          <w:szCs w:val="24"/>
          <w:rtl/>
        </w:rPr>
        <w:t>במועד עליו הודיעה החברה</w:t>
      </w:r>
      <w:r w:rsidR="000B503A">
        <w:rPr>
          <w:rFonts w:hint="cs" w:ascii="David" w:hAnsi="David" w:cs="David"/>
          <w:sz w:val="24"/>
          <w:szCs w:val="24"/>
          <w:rtl/>
        </w:rPr>
        <w:t xml:space="preserve">, </w:t>
      </w:r>
      <w:r w:rsidRPr="00BE0EE8" w:rsidR="00BE0EE8">
        <w:rPr>
          <w:rFonts w:ascii="David" w:hAnsi="David" w:cs="David"/>
          <w:sz w:val="24"/>
          <w:szCs w:val="24"/>
          <w:rtl/>
        </w:rPr>
        <w:t>יראו אותו כמי שהמגרש המסומן נמסר לידיו במועד שננקב בהודעת החברה, וליזם לא יהי</w:t>
      </w:r>
      <w:r w:rsidR="00595947">
        <w:rPr>
          <w:rFonts w:ascii="David" w:hAnsi="David" w:cs="David"/>
          <w:sz w:val="24"/>
          <w:szCs w:val="24"/>
          <w:rtl/>
        </w:rPr>
        <w:t>ו כל טענות כלפי הרשות המקומית ו/או החברה ו</w:t>
      </w:r>
      <w:r w:rsidRPr="00BE0EE8" w:rsidR="00BE0EE8">
        <w:rPr>
          <w:rFonts w:ascii="David" w:hAnsi="David" w:cs="David"/>
          <w:sz w:val="24"/>
          <w:szCs w:val="24"/>
          <w:rtl/>
        </w:rPr>
        <w:t>/או רמ"י בכל דבר ועניין הנוגע למסירת המגרש המסומן</w:t>
      </w:r>
      <w:r w:rsidR="000B503A">
        <w:rPr>
          <w:rFonts w:ascii="David" w:hAnsi="David" w:cs="David"/>
          <w:sz w:val="24"/>
          <w:szCs w:val="24"/>
        </w:rPr>
        <w:t>"</w:t>
      </w:r>
      <w:r w:rsidRPr="00BE0EE8" w:rsidR="00BE0EE8">
        <w:rPr>
          <w:rFonts w:ascii="David" w:hAnsi="David" w:cs="David"/>
          <w:sz w:val="24"/>
          <w:szCs w:val="24"/>
        </w:rPr>
        <w:t>.</w:t>
      </w:r>
    </w:p>
    <w:p w:rsidR="00C812D4" w:rsidP="005E1747"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הוראות </w:t>
      </w:r>
      <w:r w:rsidR="005E1747">
        <w:rPr>
          <w:rFonts w:hint="cs" w:ascii="David" w:hAnsi="David" w:cs="David"/>
          <w:sz w:val="24"/>
          <w:szCs w:val="24"/>
          <w:rtl/>
        </w:rPr>
        <w:t>הסכם התשתיות ביחס למסירת המגרש</w:t>
      </w:r>
      <w:r>
        <w:rPr>
          <w:rFonts w:ascii="David" w:hAnsi="David" w:cs="David"/>
          <w:sz w:val="24"/>
          <w:szCs w:val="24"/>
          <w:rtl/>
        </w:rPr>
        <w:t xml:space="preserve"> נועדו להקל על החברה הכלכלית בקשר למסירה, להבטיח שיתוף הפעולה של היזם בקבלת המגרש ולמנוע עיכובים בקבלת המגרש מצד היזם</w:t>
      </w:r>
      <w:r w:rsidR="005E1747">
        <w:rPr>
          <w:rFonts w:hint="cs" w:ascii="David" w:hAnsi="David" w:cs="David"/>
          <w:sz w:val="24"/>
          <w:szCs w:val="24"/>
          <w:rtl/>
        </w:rPr>
        <w:t xml:space="preserve">. הוראות ההסכם </w:t>
      </w:r>
      <w:r>
        <w:rPr>
          <w:rFonts w:ascii="David" w:hAnsi="David" w:cs="David"/>
          <w:sz w:val="24"/>
          <w:szCs w:val="24"/>
          <w:rtl/>
        </w:rPr>
        <w:t>מטילות על היזם חובה לקבל את המגרש וכך גם מוטלת עליו החובה לחתום ולאשר קבלת המגרש, ואף מקימות חזקה ראייתית הפועלת לחובת היזם אם אינו משתף פעולה בקבלת המגרש לידיו או בחתימה על מסמכי המס</w:t>
      </w:r>
      <w:r w:rsidR="00417A46">
        <w:rPr>
          <w:rFonts w:hint="cs" w:ascii="David" w:hAnsi="David" w:cs="David"/>
          <w:sz w:val="24"/>
          <w:szCs w:val="24"/>
          <w:rtl/>
        </w:rPr>
        <w:t>י</w:t>
      </w:r>
      <w:r>
        <w:rPr>
          <w:rFonts w:ascii="David" w:hAnsi="David" w:cs="David"/>
          <w:sz w:val="24"/>
          <w:szCs w:val="24"/>
          <w:rtl/>
        </w:rPr>
        <w:t>רה, כך שגם אם אינו מופיע לקבל את המגרש או מסרב לחתום על המסמכים, עדיין יראו אותו כמי שהמגרש נמסר לידיו.</w:t>
      </w:r>
    </w:p>
    <w:p w:rsidR="00201FA4" w:rsidP="001B2089"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ניתן לסכם את </w:t>
      </w:r>
      <w:r w:rsidR="00FC1BEA">
        <w:rPr>
          <w:rFonts w:hint="cs" w:ascii="David" w:hAnsi="David" w:cs="David"/>
          <w:sz w:val="24"/>
          <w:szCs w:val="24"/>
          <w:rtl/>
        </w:rPr>
        <w:t>הנושאים המהותיים</w:t>
      </w:r>
      <w:r>
        <w:rPr>
          <w:rFonts w:ascii="David" w:hAnsi="David" w:cs="David"/>
          <w:sz w:val="24"/>
          <w:szCs w:val="24"/>
          <w:rtl/>
        </w:rPr>
        <w:t xml:space="preserve"> העול</w:t>
      </w:r>
      <w:r w:rsidR="00FC1BEA">
        <w:rPr>
          <w:rFonts w:hint="cs" w:ascii="David" w:hAnsi="David" w:cs="David"/>
          <w:sz w:val="24"/>
          <w:szCs w:val="24"/>
          <w:rtl/>
        </w:rPr>
        <w:t>ים</w:t>
      </w:r>
      <w:r>
        <w:rPr>
          <w:rFonts w:ascii="David" w:hAnsi="David" w:cs="David"/>
          <w:sz w:val="24"/>
          <w:szCs w:val="24"/>
          <w:rtl/>
        </w:rPr>
        <w:t xml:space="preserve"> מהוראות ה</w:t>
      </w:r>
      <w:r w:rsidR="00417A46">
        <w:rPr>
          <w:rFonts w:hint="cs" w:ascii="David" w:hAnsi="David" w:cs="David"/>
          <w:sz w:val="24"/>
          <w:szCs w:val="24"/>
          <w:rtl/>
        </w:rPr>
        <w:t>מכר</w:t>
      </w:r>
      <w:r w:rsidR="001348CB">
        <w:rPr>
          <w:rFonts w:hint="cs" w:ascii="David" w:hAnsi="David" w:cs="David"/>
          <w:sz w:val="24"/>
          <w:szCs w:val="24"/>
          <w:rtl/>
        </w:rPr>
        <w:t xml:space="preserve">ז וההסכמים שנחתמו לגבי מועד תחילת שלב הבנייה 05, </w:t>
      </w:r>
      <w:r w:rsidR="001B2089">
        <w:rPr>
          <w:rFonts w:hint="cs" w:ascii="David" w:hAnsi="David" w:cs="David"/>
          <w:sz w:val="24"/>
          <w:szCs w:val="24"/>
          <w:rtl/>
        </w:rPr>
        <w:t xml:space="preserve">כמתייחסים </w:t>
      </w:r>
      <w:r>
        <w:rPr>
          <w:rFonts w:ascii="David" w:hAnsi="David" w:cs="David"/>
          <w:sz w:val="24"/>
          <w:szCs w:val="24"/>
          <w:rtl/>
        </w:rPr>
        <w:t>למצב</w:t>
      </w:r>
      <w:r w:rsidR="00FC1BEA">
        <w:rPr>
          <w:rFonts w:hint="cs" w:ascii="David" w:hAnsi="David" w:cs="David"/>
          <w:sz w:val="24"/>
          <w:szCs w:val="24"/>
          <w:rtl/>
        </w:rPr>
        <w:t>ו</w:t>
      </w:r>
      <w:r>
        <w:rPr>
          <w:rFonts w:ascii="David" w:hAnsi="David" w:cs="David"/>
          <w:sz w:val="24"/>
          <w:szCs w:val="24"/>
          <w:rtl/>
        </w:rPr>
        <w:t xml:space="preserve"> הפיזי של המגרש </w:t>
      </w:r>
      <w:r w:rsidR="00FC1BEA">
        <w:rPr>
          <w:rFonts w:hint="cs" w:ascii="David" w:hAnsi="David" w:cs="David"/>
          <w:sz w:val="24"/>
          <w:szCs w:val="24"/>
          <w:rtl/>
        </w:rPr>
        <w:t xml:space="preserve">והגדרת גבולותיו </w:t>
      </w:r>
      <w:r>
        <w:rPr>
          <w:rFonts w:ascii="David" w:hAnsi="David" w:cs="David"/>
          <w:sz w:val="24"/>
          <w:szCs w:val="24"/>
          <w:rtl/>
        </w:rPr>
        <w:t>ו</w:t>
      </w:r>
      <w:r w:rsidR="00FC1BEA">
        <w:rPr>
          <w:rFonts w:hint="cs" w:ascii="David" w:hAnsi="David" w:cs="David"/>
          <w:sz w:val="24"/>
          <w:szCs w:val="24"/>
          <w:rtl/>
        </w:rPr>
        <w:t xml:space="preserve">כן </w:t>
      </w:r>
      <w:r>
        <w:rPr>
          <w:rFonts w:ascii="David" w:hAnsi="David" w:cs="David"/>
          <w:sz w:val="24"/>
          <w:szCs w:val="24"/>
          <w:rtl/>
        </w:rPr>
        <w:t>ל</w:t>
      </w:r>
      <w:r w:rsidR="00FC1BEA">
        <w:rPr>
          <w:rFonts w:hint="cs" w:ascii="David" w:hAnsi="David" w:cs="David"/>
          <w:sz w:val="24"/>
          <w:szCs w:val="24"/>
          <w:rtl/>
        </w:rPr>
        <w:t>מסירת ה</w:t>
      </w:r>
      <w:r>
        <w:rPr>
          <w:rFonts w:ascii="David" w:hAnsi="David" w:cs="David"/>
          <w:sz w:val="24"/>
          <w:szCs w:val="24"/>
          <w:rtl/>
        </w:rPr>
        <w:t xml:space="preserve">חזקה </w:t>
      </w:r>
      <w:r w:rsidR="005E1747">
        <w:rPr>
          <w:rFonts w:hint="cs" w:ascii="David" w:hAnsi="David" w:cs="David"/>
          <w:sz w:val="24"/>
          <w:szCs w:val="24"/>
          <w:rtl/>
        </w:rPr>
        <w:t xml:space="preserve">המשפטית </w:t>
      </w:r>
      <w:r>
        <w:rPr>
          <w:rFonts w:ascii="David" w:hAnsi="David" w:cs="David"/>
          <w:sz w:val="24"/>
          <w:szCs w:val="24"/>
          <w:rtl/>
        </w:rPr>
        <w:t>בו</w:t>
      </w:r>
      <w:r w:rsidR="00FC1BEA">
        <w:rPr>
          <w:rFonts w:hint="cs" w:ascii="David" w:hAnsi="David" w:cs="David"/>
          <w:sz w:val="24"/>
          <w:szCs w:val="24"/>
          <w:rtl/>
        </w:rPr>
        <w:t xml:space="preserve"> ליזם</w:t>
      </w:r>
      <w:r>
        <w:rPr>
          <w:rFonts w:ascii="David" w:hAnsi="David" w:cs="David"/>
          <w:sz w:val="24"/>
          <w:szCs w:val="24"/>
          <w:rtl/>
        </w:rPr>
        <w:t xml:space="preserve">. </w:t>
      </w:r>
      <w:r w:rsidR="005E1747">
        <w:rPr>
          <w:rFonts w:hint="cs" w:ascii="David" w:hAnsi="David" w:cs="David"/>
          <w:sz w:val="24"/>
          <w:szCs w:val="24"/>
          <w:rtl/>
        </w:rPr>
        <w:t>שני היבטים אלו קיבלו ביטוי בהגדרת המונח שלב הבנייה 05 במסגרת חוזה הבנייה: "</w:t>
      </w:r>
      <w:r w:rsidR="005E1747">
        <w:rPr>
          <w:rFonts w:ascii="David" w:hAnsi="David" w:cs="David"/>
          <w:sz w:val="24"/>
          <w:szCs w:val="24"/>
          <w:rtl/>
        </w:rPr>
        <w:t>מסירת פינות המגרש ליזם ומסירת האחריות על המגרש ליזם</w:t>
      </w:r>
      <w:r w:rsidR="005E1747">
        <w:rPr>
          <w:rFonts w:hint="cs" w:ascii="David" w:hAnsi="David" w:cs="David"/>
          <w:sz w:val="24"/>
          <w:szCs w:val="24"/>
          <w:rtl/>
        </w:rPr>
        <w:t>". ההתייחסות ל"מסירת פינות המגרש" מבטאת את ההיבט הפיזי, הכולל הן את תיחום גבולות המגרש והן את מצבו הפיזי כפנוי. ההתייחסות ל</w:t>
      </w:r>
      <w:r w:rsidR="00201FA4">
        <w:rPr>
          <w:rFonts w:hint="cs" w:ascii="David" w:hAnsi="David" w:cs="David"/>
          <w:sz w:val="24"/>
          <w:szCs w:val="24"/>
          <w:rtl/>
        </w:rPr>
        <w:t xml:space="preserve">"מסירת האחריות על המגרש" מבטאת את ההיבט המשפטי, הנובע מהעברת החזקה במגרש לידי היזם, באופן בו הוא הופך לאחראי עליו. </w:t>
      </w:r>
    </w:p>
    <w:p w:rsidRPr="00201FA4" w:rsidR="00C812D4" w:rsidP="00201FA4" w:rsidRDefault="00201FA4">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ההיבט המשפטי בדבר העברת האחריות ליזם קשור גם לתנאי לפיו </w:t>
      </w:r>
      <w:r w:rsidRPr="00201FA4" w:rsidR="00C812D4">
        <w:rPr>
          <w:rFonts w:ascii="David" w:hAnsi="David" w:cs="David"/>
          <w:sz w:val="24"/>
          <w:szCs w:val="24"/>
          <w:rtl/>
        </w:rPr>
        <w:t>קודם למסירה</w:t>
      </w:r>
      <w:r w:rsidR="000D4F80">
        <w:rPr>
          <w:rFonts w:hint="cs" w:ascii="David" w:hAnsi="David" w:cs="David"/>
          <w:sz w:val="24"/>
          <w:szCs w:val="24"/>
          <w:rtl/>
        </w:rPr>
        <w:t>,</w:t>
      </w:r>
      <w:r w:rsidRPr="00201FA4" w:rsidR="00C812D4">
        <w:rPr>
          <w:rFonts w:ascii="David" w:hAnsi="David" w:cs="David"/>
          <w:sz w:val="24"/>
          <w:szCs w:val="24"/>
          <w:rtl/>
        </w:rPr>
        <w:t xml:space="preserve"> היזם אינו רשאי לפעול במגרש ואילו לאחר המסירה</w:t>
      </w:r>
      <w:r>
        <w:rPr>
          <w:rFonts w:hint="cs" w:ascii="David" w:hAnsi="David" w:cs="David"/>
          <w:sz w:val="24"/>
          <w:szCs w:val="24"/>
          <w:rtl/>
        </w:rPr>
        <w:t>,</w:t>
      </w:r>
      <w:r w:rsidRPr="00201FA4" w:rsidR="00C812D4">
        <w:rPr>
          <w:rFonts w:ascii="David" w:hAnsi="David" w:cs="David"/>
          <w:sz w:val="24"/>
          <w:szCs w:val="24"/>
          <w:rtl/>
        </w:rPr>
        <w:t xml:space="preserve"> </w:t>
      </w:r>
      <w:r>
        <w:rPr>
          <w:rFonts w:hint="cs" w:ascii="David" w:hAnsi="David" w:cs="David"/>
          <w:sz w:val="24"/>
          <w:szCs w:val="24"/>
          <w:rtl/>
        </w:rPr>
        <w:t>כש</w:t>
      </w:r>
      <w:r>
        <w:rPr>
          <w:rFonts w:ascii="David" w:hAnsi="David" w:cs="David"/>
          <w:sz w:val="24"/>
          <w:szCs w:val="24"/>
          <w:rtl/>
        </w:rPr>
        <w:t>עוברת החזקה</w:t>
      </w:r>
      <w:r>
        <w:rPr>
          <w:rFonts w:hint="cs" w:ascii="David" w:hAnsi="David" w:cs="David"/>
          <w:sz w:val="24"/>
          <w:szCs w:val="24"/>
          <w:rtl/>
        </w:rPr>
        <w:t>,</w:t>
      </w:r>
      <w:r w:rsidRPr="00201FA4" w:rsidR="00C812D4">
        <w:rPr>
          <w:rFonts w:ascii="David" w:hAnsi="David" w:cs="David"/>
          <w:sz w:val="24"/>
          <w:szCs w:val="24"/>
          <w:rtl/>
        </w:rPr>
        <w:t xml:space="preserve"> הוא רשאי להתחיל בפעולות הבניה. </w:t>
      </w:r>
    </w:p>
    <w:p w:rsidRPr="009D0B59" w:rsidR="00C812D4" w:rsidP="001B2089" w:rsidRDefault="009D0B59">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ביחס ל</w:t>
      </w:r>
      <w:r w:rsidRPr="00201FA4" w:rsidR="00201FA4">
        <w:rPr>
          <w:rFonts w:hint="cs" w:ascii="David" w:hAnsi="David" w:cs="David"/>
          <w:sz w:val="24"/>
          <w:szCs w:val="24"/>
          <w:rtl/>
        </w:rPr>
        <w:t xml:space="preserve">היבט הפיזי </w:t>
      </w:r>
      <w:r>
        <w:rPr>
          <w:rFonts w:hint="cs" w:ascii="David" w:hAnsi="David" w:cs="David"/>
          <w:sz w:val="24"/>
          <w:szCs w:val="24"/>
          <w:rtl/>
        </w:rPr>
        <w:t xml:space="preserve">חוזרים </w:t>
      </w:r>
      <w:r w:rsidRPr="009D0B59">
        <w:rPr>
          <w:rFonts w:hint="cs" w:ascii="David" w:hAnsi="David" w:cs="David"/>
          <w:sz w:val="24"/>
          <w:szCs w:val="24"/>
          <w:rtl/>
        </w:rPr>
        <w:t xml:space="preserve">ההסכמים </w:t>
      </w:r>
      <w:r>
        <w:rPr>
          <w:rFonts w:hint="cs" w:ascii="David" w:hAnsi="David" w:cs="David"/>
          <w:sz w:val="24"/>
          <w:szCs w:val="24"/>
          <w:rtl/>
        </w:rPr>
        <w:t xml:space="preserve">על הצורך בקביעת גבולות המגרש. כך, בחוזה </w:t>
      </w:r>
      <w:r w:rsidR="000D4F80">
        <w:rPr>
          <w:rFonts w:hint="cs" w:ascii="David" w:hAnsi="David" w:cs="David"/>
          <w:sz w:val="24"/>
          <w:szCs w:val="24"/>
          <w:rtl/>
        </w:rPr>
        <w:t>ה</w:t>
      </w:r>
      <w:r>
        <w:rPr>
          <w:rFonts w:hint="cs" w:ascii="David" w:hAnsi="David" w:cs="David"/>
          <w:sz w:val="24"/>
          <w:szCs w:val="24"/>
          <w:rtl/>
        </w:rPr>
        <w:t>בנייה צוין כי המסירה תבוצע באמצעות "מסירת פינות המגרש"</w:t>
      </w:r>
      <w:r w:rsidRPr="009D0B59" w:rsidR="00C812D4">
        <w:rPr>
          <w:rFonts w:ascii="David" w:hAnsi="David" w:cs="David"/>
          <w:sz w:val="24"/>
          <w:szCs w:val="24"/>
          <w:rtl/>
        </w:rPr>
        <w:t xml:space="preserve">, וכיוצא מכך גם נקבע </w:t>
      </w:r>
      <w:r>
        <w:rPr>
          <w:rFonts w:hint="cs" w:ascii="David" w:hAnsi="David" w:cs="David"/>
          <w:sz w:val="24"/>
          <w:szCs w:val="24"/>
          <w:rtl/>
        </w:rPr>
        <w:t xml:space="preserve">בהסכם התשתיות כי </w:t>
      </w:r>
      <w:r>
        <w:rPr>
          <w:rFonts w:ascii="David" w:hAnsi="David" w:cs="David"/>
          <w:sz w:val="24"/>
          <w:szCs w:val="24"/>
          <w:rtl/>
        </w:rPr>
        <w:t xml:space="preserve">מועד מסירת המגרש </w:t>
      </w:r>
      <w:r w:rsidRPr="009D0B59" w:rsidR="00C812D4">
        <w:rPr>
          <w:rFonts w:ascii="David" w:hAnsi="David" w:cs="David"/>
          <w:sz w:val="24"/>
          <w:szCs w:val="24"/>
          <w:rtl/>
        </w:rPr>
        <w:t>ייחשב כ</w:t>
      </w:r>
      <w:r>
        <w:rPr>
          <w:rFonts w:hint="cs" w:ascii="David" w:hAnsi="David" w:cs="David"/>
          <w:sz w:val="24"/>
          <w:szCs w:val="24"/>
          <w:rtl/>
        </w:rPr>
        <w:t>"</w:t>
      </w:r>
      <w:r w:rsidRPr="009D0B59" w:rsidR="00C812D4">
        <w:rPr>
          <w:rFonts w:ascii="David" w:hAnsi="David" w:cs="David"/>
          <w:sz w:val="24"/>
          <w:szCs w:val="24"/>
          <w:rtl/>
        </w:rPr>
        <w:t>מועד בו קיבל היזם את יתדות הסימון של המגרש מידי החברה".</w:t>
      </w:r>
      <w:r w:rsidR="001B2089">
        <w:rPr>
          <w:rFonts w:hint="cs" w:ascii="David" w:hAnsi="David" w:cs="David"/>
          <w:sz w:val="24"/>
          <w:szCs w:val="24"/>
          <w:rtl/>
        </w:rPr>
        <w:t xml:space="preserve"> בהסכם התשתיות נקבע ב</w:t>
      </w:r>
      <w:r>
        <w:rPr>
          <w:rFonts w:hint="cs" w:ascii="David" w:hAnsi="David" w:cs="David"/>
          <w:sz w:val="24"/>
          <w:szCs w:val="24"/>
          <w:rtl/>
        </w:rPr>
        <w:t xml:space="preserve">נוגע להליך מסירת המגרש כי </w:t>
      </w:r>
      <w:r w:rsidR="00791429">
        <w:rPr>
          <w:rFonts w:hint="cs" w:ascii="David" w:hAnsi="David" w:cs="David"/>
          <w:sz w:val="24"/>
          <w:szCs w:val="24"/>
          <w:rtl/>
        </w:rPr>
        <w:t>המגרש יימסר "</w:t>
      </w:r>
      <w:r w:rsidRPr="00BE0EE8" w:rsidR="00791429">
        <w:rPr>
          <w:rFonts w:ascii="David" w:hAnsi="David" w:cs="David"/>
          <w:sz w:val="24"/>
          <w:szCs w:val="24"/>
          <w:rtl/>
        </w:rPr>
        <w:t>לאחר שסומנו גבולותיו</w:t>
      </w:r>
      <w:r w:rsidR="00791429">
        <w:rPr>
          <w:rFonts w:hint="cs" w:ascii="David" w:hAnsi="David" w:cs="David"/>
          <w:sz w:val="24"/>
          <w:szCs w:val="24"/>
          <w:rtl/>
        </w:rPr>
        <w:t>"</w:t>
      </w:r>
      <w:r w:rsidRPr="00BE0EE8" w:rsidR="00791429">
        <w:rPr>
          <w:rFonts w:ascii="David" w:hAnsi="David" w:cs="David"/>
          <w:sz w:val="24"/>
          <w:szCs w:val="24"/>
          <w:rtl/>
        </w:rPr>
        <w:t xml:space="preserve">, </w:t>
      </w:r>
      <w:r w:rsidR="00791429">
        <w:rPr>
          <w:rFonts w:hint="cs" w:ascii="David" w:hAnsi="David" w:cs="David"/>
          <w:sz w:val="24"/>
          <w:szCs w:val="24"/>
          <w:rtl/>
        </w:rPr>
        <w:lastRenderedPageBreak/>
        <w:t>והיזם</w:t>
      </w:r>
      <w:r w:rsidRPr="00BE0EE8" w:rsidR="00791429">
        <w:rPr>
          <w:rFonts w:ascii="David" w:hAnsi="David" w:cs="David"/>
          <w:sz w:val="24"/>
          <w:szCs w:val="24"/>
          <w:rtl/>
        </w:rPr>
        <w:t xml:space="preserve"> </w:t>
      </w:r>
      <w:r w:rsidR="00791429">
        <w:rPr>
          <w:rFonts w:hint="cs" w:ascii="David" w:hAnsi="David" w:cs="David"/>
          <w:sz w:val="24"/>
          <w:szCs w:val="24"/>
          <w:rtl/>
        </w:rPr>
        <w:t>"</w:t>
      </w:r>
      <w:r w:rsidRPr="00BE0EE8" w:rsidR="00791429">
        <w:rPr>
          <w:rFonts w:ascii="David" w:hAnsi="David" w:cs="David"/>
          <w:sz w:val="24"/>
          <w:szCs w:val="24"/>
          <w:rtl/>
        </w:rPr>
        <w:t>מתחייב בזה לקבל מהחברה את המגרש המסומן</w:t>
      </w:r>
      <w:r w:rsidR="00791429">
        <w:rPr>
          <w:rFonts w:hint="cs" w:ascii="David" w:hAnsi="David" w:cs="David"/>
          <w:sz w:val="24"/>
          <w:szCs w:val="24"/>
          <w:rtl/>
        </w:rPr>
        <w:t xml:space="preserve">". מובן, כי ההיבט הפיזי של סימון גבולות המגרש ומסירתו באמצעות מסירת הפינות, קשור גם להיבט המשפטי של העברת החזקה, לצורך הגדרה ותיחום הגבולות של החזקה שנמסרה. </w:t>
      </w:r>
    </w:p>
    <w:p w:rsidR="00C812D4" w:rsidP="007827F3" w:rsidRDefault="00201FA4">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כעולה מהוראות ההסכמים, </w:t>
      </w:r>
      <w:r w:rsidRPr="00FC1BEA" w:rsidR="00C812D4">
        <w:rPr>
          <w:rFonts w:ascii="David" w:hAnsi="David" w:cs="David"/>
          <w:sz w:val="24"/>
          <w:szCs w:val="24"/>
          <w:rtl/>
        </w:rPr>
        <w:t>חתימ</w:t>
      </w:r>
      <w:r w:rsidR="00FC1BEA">
        <w:rPr>
          <w:rFonts w:hint="cs" w:ascii="David" w:hAnsi="David" w:cs="David"/>
          <w:sz w:val="24"/>
          <w:szCs w:val="24"/>
          <w:rtl/>
        </w:rPr>
        <w:t xml:space="preserve">ת היזם </w:t>
      </w:r>
      <w:r w:rsidRPr="00FC1BEA" w:rsidR="00C812D4">
        <w:rPr>
          <w:rFonts w:ascii="David" w:hAnsi="David" w:cs="David"/>
          <w:sz w:val="24"/>
          <w:szCs w:val="24"/>
          <w:rtl/>
        </w:rPr>
        <w:t xml:space="preserve">על טפסי המסירה היא בעלת משמעות פרוצדורלית בלבד, </w:t>
      </w:r>
      <w:r w:rsidR="00FC1BEA">
        <w:rPr>
          <w:rFonts w:hint="cs" w:ascii="David" w:hAnsi="David" w:cs="David"/>
          <w:sz w:val="24"/>
          <w:szCs w:val="24"/>
          <w:rtl/>
        </w:rPr>
        <w:t>שעה ש</w:t>
      </w:r>
      <w:r w:rsidRPr="00FC1BEA" w:rsidR="00C812D4">
        <w:rPr>
          <w:rFonts w:ascii="David" w:hAnsi="David" w:cs="David"/>
          <w:sz w:val="24"/>
          <w:szCs w:val="24"/>
          <w:rtl/>
        </w:rPr>
        <w:t>נועדה</w:t>
      </w:r>
      <w:r w:rsidR="00FC1BEA">
        <w:rPr>
          <w:rFonts w:ascii="David" w:hAnsi="David" w:cs="David"/>
          <w:sz w:val="24"/>
          <w:szCs w:val="24"/>
          <w:rtl/>
        </w:rPr>
        <w:t xml:space="preserve"> להקל על הצדדים את תיעוד המסירה</w:t>
      </w:r>
      <w:r w:rsidR="00FC1BEA">
        <w:rPr>
          <w:rFonts w:hint="cs" w:ascii="David" w:hAnsi="David" w:cs="David"/>
          <w:sz w:val="24"/>
          <w:szCs w:val="24"/>
          <w:rtl/>
        </w:rPr>
        <w:t xml:space="preserve">. </w:t>
      </w:r>
      <w:r w:rsidRPr="00FC1BEA" w:rsidR="00C812D4">
        <w:rPr>
          <w:rFonts w:ascii="David" w:hAnsi="David" w:cs="David"/>
          <w:sz w:val="24"/>
          <w:szCs w:val="24"/>
          <w:rtl/>
        </w:rPr>
        <w:t>בהוראות הסכם התשתיות הובהר כי אין מדובר בתנאי מהותי, שכן גם בהעדר התייצבות של היזם לקבלת המגרש, היינו גם ללא מפגש מסירה פיזי בשטח של שני הצדדים, ו</w:t>
      </w:r>
      <w:r w:rsidR="00FC1BEA">
        <w:rPr>
          <w:rFonts w:hint="cs" w:ascii="David" w:hAnsi="David" w:cs="David"/>
          <w:sz w:val="24"/>
          <w:szCs w:val="24"/>
          <w:rtl/>
        </w:rPr>
        <w:t xml:space="preserve">ממילא </w:t>
      </w:r>
      <w:r w:rsidRPr="00FC1BEA" w:rsidR="00C812D4">
        <w:rPr>
          <w:rFonts w:ascii="David" w:hAnsi="David" w:cs="David"/>
          <w:sz w:val="24"/>
          <w:szCs w:val="24"/>
          <w:rtl/>
        </w:rPr>
        <w:t xml:space="preserve">גם בהעדר חתימה של היזם על טפסי המסירה, יראו את היזם </w:t>
      </w:r>
      <w:r w:rsidR="007827F3">
        <w:rPr>
          <w:rFonts w:hint="cs" w:ascii="David" w:hAnsi="David" w:cs="David"/>
          <w:sz w:val="24"/>
          <w:szCs w:val="24"/>
          <w:rtl/>
        </w:rPr>
        <w:t>"</w:t>
      </w:r>
      <w:r w:rsidRPr="00BE0EE8" w:rsidR="007827F3">
        <w:rPr>
          <w:rFonts w:ascii="David" w:hAnsi="David" w:cs="David"/>
          <w:sz w:val="24"/>
          <w:szCs w:val="24"/>
          <w:rtl/>
        </w:rPr>
        <w:t>כמי שהמגרש המסומן נמסר לידיו</w:t>
      </w:r>
      <w:r w:rsidR="007827F3">
        <w:rPr>
          <w:rFonts w:hint="cs" w:ascii="David" w:hAnsi="David" w:cs="David"/>
          <w:sz w:val="24"/>
          <w:szCs w:val="24"/>
          <w:rtl/>
        </w:rPr>
        <w:t>"</w:t>
      </w:r>
      <w:r w:rsidRPr="00FC1BEA" w:rsidR="00C812D4">
        <w:rPr>
          <w:rFonts w:ascii="David" w:hAnsi="David" w:cs="David"/>
          <w:sz w:val="24"/>
          <w:szCs w:val="24"/>
          <w:rtl/>
        </w:rPr>
        <w:t>.</w:t>
      </w:r>
    </w:p>
    <w:p w:rsidRPr="00955DAA" w:rsidR="00955DAA" w:rsidP="00955DAA" w:rsidRDefault="000E3F4A">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ל</w:t>
      </w:r>
      <w:r w:rsidR="001B7E2A">
        <w:rPr>
          <w:rFonts w:hint="cs" w:ascii="David" w:hAnsi="David" w:cs="David"/>
          <w:sz w:val="24"/>
          <w:szCs w:val="24"/>
          <w:rtl/>
        </w:rPr>
        <w:t>סיכום</w:t>
      </w:r>
      <w:r>
        <w:rPr>
          <w:rFonts w:hint="cs" w:ascii="David" w:hAnsi="David" w:cs="David"/>
          <w:sz w:val="24"/>
          <w:szCs w:val="24"/>
          <w:rtl/>
        </w:rPr>
        <w:t>,</w:t>
      </w:r>
      <w:r w:rsidR="001B7E2A">
        <w:rPr>
          <w:rFonts w:hint="cs" w:ascii="David" w:hAnsi="David" w:cs="David"/>
          <w:sz w:val="24"/>
          <w:szCs w:val="24"/>
          <w:rtl/>
        </w:rPr>
        <w:t xml:space="preserve"> </w:t>
      </w:r>
      <w:r>
        <w:rPr>
          <w:rFonts w:hint="cs" w:ascii="David" w:hAnsi="David" w:cs="David"/>
          <w:sz w:val="24"/>
          <w:szCs w:val="24"/>
          <w:rtl/>
        </w:rPr>
        <w:t>הוראות המכרז וההסכמים שנחתמו קובעים</w:t>
      </w:r>
      <w:r w:rsidR="00C36E7F">
        <w:rPr>
          <w:rFonts w:hint="cs" w:ascii="David" w:hAnsi="David" w:cs="David"/>
          <w:sz w:val="24"/>
          <w:szCs w:val="24"/>
          <w:rtl/>
        </w:rPr>
        <w:t xml:space="preserve"> מנגנון</w:t>
      </w:r>
      <w:r>
        <w:rPr>
          <w:rFonts w:hint="cs" w:ascii="David" w:hAnsi="David" w:cs="David"/>
          <w:sz w:val="24"/>
          <w:szCs w:val="24"/>
          <w:rtl/>
        </w:rPr>
        <w:t xml:space="preserve"> שמטרתו הגנה על רוכשי הדירות בפרויקט "מחיר למשתכן" מפני עלייה של מחיר הדירה בשל התמשכות התקופה הקדם חוזית. לפי מנגנון זה, </w:t>
      </w:r>
      <w:r>
        <w:rPr>
          <w:rFonts w:ascii="David" w:hAnsi="David" w:cs="David"/>
          <w:sz w:val="24"/>
          <w:szCs w:val="24"/>
          <w:rtl/>
        </w:rPr>
        <w:t>ההצמדה למדד תשומות הבנייה תוגבל לפרק זמן של 20 חודשים לאחר שלב הבנייה 05</w:t>
      </w:r>
      <w:r>
        <w:rPr>
          <w:rFonts w:hint="cs" w:ascii="David" w:hAnsi="David" w:cs="David"/>
          <w:sz w:val="24"/>
          <w:szCs w:val="24"/>
          <w:rtl/>
        </w:rPr>
        <w:t>. מניין 20 החודשים מתחיל במועד בו מתחיל שלב הבנייה 05, שהוא ה</w:t>
      </w:r>
      <w:r>
        <w:rPr>
          <w:rFonts w:ascii="David" w:hAnsi="David" w:cs="David"/>
          <w:sz w:val="24"/>
          <w:szCs w:val="24"/>
          <w:rtl/>
        </w:rPr>
        <w:t xml:space="preserve">מועד </w:t>
      </w:r>
      <w:r>
        <w:rPr>
          <w:rFonts w:hint="cs" w:ascii="David" w:hAnsi="David" w:cs="David"/>
          <w:sz w:val="24"/>
          <w:szCs w:val="24"/>
          <w:rtl/>
        </w:rPr>
        <w:t xml:space="preserve">בו </w:t>
      </w:r>
      <w:r w:rsidR="00955DAA">
        <w:rPr>
          <w:rFonts w:hint="cs" w:ascii="David" w:hAnsi="David" w:cs="David"/>
          <w:sz w:val="24"/>
          <w:szCs w:val="24"/>
          <w:rtl/>
        </w:rPr>
        <w:t>נמסר</w:t>
      </w:r>
      <w:r>
        <w:rPr>
          <w:rFonts w:ascii="David" w:hAnsi="David" w:cs="David"/>
          <w:sz w:val="24"/>
          <w:szCs w:val="24"/>
          <w:rtl/>
        </w:rPr>
        <w:t xml:space="preserve"> המגרש ליזם לצורך בנייה</w:t>
      </w:r>
      <w:r w:rsidR="00955DAA">
        <w:rPr>
          <w:rFonts w:hint="cs" w:ascii="David" w:hAnsi="David" w:cs="David"/>
          <w:sz w:val="24"/>
          <w:szCs w:val="24"/>
          <w:rtl/>
        </w:rPr>
        <w:t>, ועל כן יש לקבוע בהליך זה, על בסיס הראיות שהוגשו, את המועד בו נמסר המגרש לתובעת.</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התייחסות כללית לעדויות מטעם הצדדים</w:t>
      </w:r>
    </w:p>
    <w:p w:rsidR="00C812D4" w:rsidP="009C376B" w:rsidRDefault="009C376B">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מוקד המחלוקת הוא</w:t>
      </w:r>
      <w:r w:rsidR="00C812D4">
        <w:rPr>
          <w:rFonts w:ascii="David" w:hAnsi="David" w:cs="David"/>
          <w:sz w:val="24"/>
          <w:szCs w:val="24"/>
          <w:rtl/>
        </w:rPr>
        <w:t xml:space="preserve"> בשאלת מועד מסירת המגרש לתובעת. שני העדים המרכזיים אשר מסרו עדות ביחס לסוגיה זו הם מנהל התובעת, מר יצחק כהן, והעד מטעם החברה הכלכלית, מר איציק חליס. כל אחד מהעדים מסר גרסה שונה ביחס לנסיבות העובדתיות הנוגעות להליך מסירת המגרש לתובעת. בעיקר קיים שוני בגרסאות העדים לגבי מפגש המסירה שנערך בחודש דצמבר 2018 בשטח המגרש וכן לגבי השאלה מתי פונתה ערימת העפר שהיתה קיימת בשולי המגרש. </w:t>
      </w:r>
    </w:p>
    <w:p w:rsidR="00C812D4" w:rsidP="00D7694F" w:rsidRDefault="004E0D9E">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כפי שיפורט בהמשך, </w:t>
      </w:r>
      <w:r w:rsidR="00C812D4">
        <w:rPr>
          <w:rFonts w:ascii="David" w:hAnsi="David" w:cs="David"/>
          <w:sz w:val="24"/>
          <w:szCs w:val="24"/>
          <w:rtl/>
        </w:rPr>
        <w:t xml:space="preserve">בחינת העדויות והגרסאות המנוגדות, ובשים לב גם להתרשמות מעדותם של העדים בפני בית המשפט, מובילה למסקנה כי יש לקבל את גרסתו של העד מר חליס ולהעדיפה על פני גרסת מנהל התובעת. בהקשר זה יצוין, כי עדותו של מר חליס עשתה רושם מהימן וזאת למרות שינויים מסוימים בגרסה אותם יש לייחס לחוסר תשומת לב לפרטים, ושעה שכאשר התגלתה אי בהירות, ביקש העד להבהיר את הדברים, באופן משכנע, על מנת להעמידם על דיוקם. לעומת זאת, עדות מנהל התובעת בסוגיות המרכזיות השנויות במחלוקת, לא עשתה רושם אמין, וניכר היה כי העדות </w:t>
      </w:r>
      <w:r w:rsidR="00D7694F">
        <w:rPr>
          <w:rFonts w:hint="cs" w:ascii="David" w:hAnsi="David" w:cs="David"/>
          <w:sz w:val="24"/>
          <w:szCs w:val="24"/>
          <w:rtl/>
        </w:rPr>
        <w:t>נוטה</w:t>
      </w:r>
      <w:r w:rsidR="00C812D4">
        <w:rPr>
          <w:rFonts w:ascii="David" w:hAnsi="David" w:cs="David"/>
          <w:sz w:val="24"/>
          <w:szCs w:val="24"/>
          <w:rtl/>
        </w:rPr>
        <w:t xml:space="preserve"> לכיוון אליו מבקש העד להגיע.</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יוער, כי בחלקים מסוימים מעדות מנהל התובעת, עדותו כן עשתה רושם של עדות כנה, והכוונה היא לחשש מפני ה</w:t>
      </w:r>
      <w:r w:rsidR="00D7694F">
        <w:rPr>
          <w:rFonts w:hint="cs" w:ascii="David" w:hAnsi="David" w:cs="David"/>
          <w:sz w:val="24"/>
          <w:szCs w:val="24"/>
          <w:rtl/>
        </w:rPr>
        <w:t>י</w:t>
      </w:r>
      <w:r>
        <w:rPr>
          <w:rFonts w:ascii="David" w:hAnsi="David" w:cs="David"/>
          <w:sz w:val="24"/>
          <w:szCs w:val="24"/>
          <w:rtl/>
        </w:rPr>
        <w:t xml:space="preserve">עדר כדאיות כלכלית לתובעת מהפרויקט ואף מהפסדים. מנהל התובעת חזר </w:t>
      </w:r>
      <w:r>
        <w:rPr>
          <w:rFonts w:ascii="David" w:hAnsi="David" w:cs="David"/>
          <w:sz w:val="24"/>
          <w:szCs w:val="24"/>
          <w:rtl/>
        </w:rPr>
        <w:lastRenderedPageBreak/>
        <w:t xml:space="preserve">מספר רב של פעמים על חשש זה מהתוצאות הכלכליות הנוגעות לפרויקט, כולל בקשר לסוגיית ההצמדה. אלא שחשש זה אינו יכול לשמש כבסיס וכנימוק לעיוות המציאות בקביעת נסיבות עובדתיות התואמות דווקא את רצונה של התובעת. </w:t>
      </w:r>
    </w:p>
    <w:p w:rsidRPr="004E0D9E" w:rsidR="004E0D9E" w:rsidP="004E0D9E" w:rsidRDefault="004E0D9E">
      <w:pPr>
        <w:pStyle w:val="ad"/>
        <w:spacing w:after="240" w:line="360" w:lineRule="auto"/>
        <w:ind w:left="284" w:right="-170"/>
        <w:contextualSpacing w:val="0"/>
        <w:jc w:val="both"/>
        <w:rPr>
          <w:rFonts w:ascii="David" w:hAnsi="David" w:cs="David"/>
          <w:sz w:val="24"/>
          <w:szCs w:val="24"/>
          <w:u w:val="single"/>
        </w:rPr>
      </w:pPr>
      <w:r w:rsidRPr="004E0D9E">
        <w:rPr>
          <w:rFonts w:hint="cs" w:ascii="David" w:hAnsi="David" w:cs="David"/>
          <w:sz w:val="24"/>
          <w:szCs w:val="24"/>
          <w:u w:val="single"/>
          <w:rtl/>
        </w:rPr>
        <w:t>התייחסות להליך הסעד הזמני</w:t>
      </w:r>
    </w:p>
    <w:p w:rsidR="00C812D4" w:rsidP="004E0D9E"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בסיכומי התובעת</w:t>
      </w:r>
      <w:r w:rsidR="00E00223">
        <w:rPr>
          <w:rFonts w:hint="cs" w:ascii="David" w:hAnsi="David" w:cs="David"/>
          <w:sz w:val="24"/>
          <w:szCs w:val="24"/>
          <w:rtl/>
        </w:rPr>
        <w:t xml:space="preserve"> (לדוגמה, בסעיפים 19, 109, 117</w:t>
      </w:r>
      <w:r w:rsidR="00571CA9">
        <w:rPr>
          <w:rFonts w:hint="cs" w:ascii="David" w:hAnsi="David" w:cs="David"/>
          <w:sz w:val="24"/>
          <w:szCs w:val="24"/>
          <w:rtl/>
        </w:rPr>
        <w:t xml:space="preserve">, 152, 318 </w:t>
      </w:r>
      <w:r w:rsidR="00E00223">
        <w:rPr>
          <w:rFonts w:hint="cs" w:ascii="David" w:hAnsi="David" w:cs="David"/>
          <w:sz w:val="24"/>
          <w:szCs w:val="24"/>
          <w:rtl/>
        </w:rPr>
        <w:t>לסיכומי התובעת)</w:t>
      </w:r>
      <w:r>
        <w:rPr>
          <w:rFonts w:ascii="David" w:hAnsi="David" w:cs="David"/>
          <w:sz w:val="24"/>
          <w:szCs w:val="24"/>
          <w:rtl/>
        </w:rPr>
        <w:t xml:space="preserve"> שזורה הטענה לפיה בית המשפט כבר הביע, כביכול, את עמדתו ביחס לתוצאות ההליך העיקרי, וזאת במסגרת הדיון שנערך בהליך הסעד הזמני. </w:t>
      </w:r>
      <w:r w:rsidR="004E0D9E">
        <w:rPr>
          <w:rFonts w:hint="cs" w:ascii="David" w:hAnsi="David" w:cs="David"/>
          <w:sz w:val="24"/>
          <w:szCs w:val="24"/>
          <w:rtl/>
        </w:rPr>
        <w:t xml:space="preserve">מעיון בתיק עולה כי </w:t>
      </w:r>
      <w:r>
        <w:rPr>
          <w:rFonts w:ascii="David" w:hAnsi="David" w:cs="David"/>
          <w:sz w:val="24"/>
          <w:szCs w:val="24"/>
          <w:rtl/>
        </w:rPr>
        <w:t>מדובר בטענה משוללת בסיס.</w:t>
      </w:r>
    </w:p>
    <w:p w:rsidR="00C812D4" w:rsidP="004E0D9E"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כמפורט לעיל, הדיון בהליך הסעד הזמני נערך בשלב מקדמי מא</w:t>
      </w:r>
      <w:r w:rsidR="00D7694F">
        <w:rPr>
          <w:rFonts w:hint="cs" w:ascii="David" w:hAnsi="David" w:cs="David"/>
          <w:sz w:val="24"/>
          <w:szCs w:val="24"/>
          <w:rtl/>
        </w:rPr>
        <w:t>ו</w:t>
      </w:r>
      <w:r>
        <w:rPr>
          <w:rFonts w:ascii="David" w:hAnsi="David" w:cs="David"/>
          <w:sz w:val="24"/>
          <w:szCs w:val="24"/>
          <w:rtl/>
        </w:rPr>
        <w:t xml:space="preserve">ד של ההליך, הרבה לפני שהוגשו כתבי ההגנה מטעם הנתבעים. כיצד ניתן לטעון כי בית המשפט כבר הביע עמדה, בשלב כה מוקדם של ההליך, ביחס לתוצאות ההליך לגופן.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בהקשר זה יוער, כי אף לא היה ראוי לקרוא לתוך שאלות שהציג בית המשפט לעדים במסגרת בירור הליך הסעד הזמני, כאילו מדובר היה בהבעת עמדה של בית המשפט</w:t>
      </w:r>
      <w:r w:rsidR="00E00223">
        <w:rPr>
          <w:rFonts w:hint="cs" w:ascii="David" w:hAnsi="David" w:cs="David"/>
          <w:sz w:val="24"/>
          <w:szCs w:val="24"/>
          <w:rtl/>
        </w:rPr>
        <w:t xml:space="preserve"> (כפי הנטען, לדוגמה, בסעיפים 17 </w:t>
      </w:r>
      <w:r w:rsidR="00D549BE">
        <w:rPr>
          <w:rFonts w:hint="cs" w:ascii="David" w:hAnsi="David" w:cs="David"/>
          <w:sz w:val="24"/>
          <w:szCs w:val="24"/>
          <w:rtl/>
        </w:rPr>
        <w:t xml:space="preserve">, </w:t>
      </w:r>
      <w:r w:rsidR="00E00223">
        <w:rPr>
          <w:rFonts w:hint="cs" w:ascii="David" w:hAnsi="David" w:cs="David"/>
          <w:sz w:val="24"/>
          <w:szCs w:val="24"/>
          <w:rtl/>
        </w:rPr>
        <w:t>110</w:t>
      </w:r>
      <w:r w:rsidR="00EC4196">
        <w:rPr>
          <w:rFonts w:hint="cs" w:ascii="David" w:hAnsi="David" w:cs="David"/>
          <w:sz w:val="24"/>
          <w:szCs w:val="24"/>
          <w:rtl/>
        </w:rPr>
        <w:t xml:space="preserve"> לסיכומי התובעת</w:t>
      </w:r>
      <w:r w:rsidR="00E00223">
        <w:rPr>
          <w:rFonts w:hint="cs" w:ascii="David" w:hAnsi="David" w:cs="David"/>
          <w:sz w:val="24"/>
          <w:szCs w:val="24"/>
          <w:rtl/>
        </w:rPr>
        <w:t xml:space="preserve">), </w:t>
      </w:r>
      <w:r>
        <w:rPr>
          <w:rFonts w:ascii="David" w:hAnsi="David" w:cs="David"/>
          <w:sz w:val="24"/>
          <w:szCs w:val="24"/>
          <w:rtl/>
        </w:rPr>
        <w:t>וקל וחומר שאין כל מקום לטענה כאילו ניתן לראות בשאלות שהוצגו לעדים כקביעה שיפוטית כלשהי של בית המשפט.</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לעתים נדרש בית המשפט להביע עמדה לכאורית כבר בשלב הליך הסעד הזמני, וזאת על מנת להכריע בשאלת מתן סעד זמני, במסגרת בחינת קיומה של "זכות לכאורה", ואזי ניתנת החלטה מנומקת אשר אומנם אין בה לקבוע ביחס לתביעה לגופה</w:t>
      </w:r>
      <w:r w:rsidR="00D7694F">
        <w:rPr>
          <w:rFonts w:hint="cs" w:ascii="David" w:hAnsi="David" w:cs="David"/>
          <w:sz w:val="24"/>
          <w:szCs w:val="24"/>
          <w:rtl/>
        </w:rPr>
        <w:t>, אך</w:t>
      </w:r>
      <w:r>
        <w:rPr>
          <w:rFonts w:ascii="David" w:hAnsi="David" w:cs="David"/>
          <w:sz w:val="24"/>
          <w:szCs w:val="24"/>
          <w:rtl/>
        </w:rPr>
        <w:t xml:space="preserve"> ניתן ללמוד ממנה משהו לגבי הערכת סיכויי טענות הצדדים. במקרה זה, הליך הסעד הזמני הסתיים בדרך של גיבוש מתווה מוסכם בפשרה, מתווה אשר מלכתחילה נועד לשמש לצרכי תקופת הביניים בלבד</w:t>
      </w:r>
      <w:r w:rsidR="00D7694F">
        <w:rPr>
          <w:rFonts w:hint="cs" w:ascii="David" w:hAnsi="David" w:cs="David"/>
          <w:sz w:val="24"/>
          <w:szCs w:val="24"/>
          <w:rtl/>
        </w:rPr>
        <w:t xml:space="preserve">, </w:t>
      </w:r>
      <w:r>
        <w:rPr>
          <w:rFonts w:ascii="David" w:hAnsi="David" w:cs="David"/>
          <w:sz w:val="24"/>
          <w:szCs w:val="24"/>
          <w:rtl/>
        </w:rPr>
        <w:t xml:space="preserve">עד להכרעה בתביעה העיקרית, ועל מנת לשחרר הצדדים מהמבוי הסתום אליו נקלעו, אשר עיכב </w:t>
      </w:r>
      <w:r w:rsidR="00D7694F">
        <w:rPr>
          <w:rFonts w:hint="cs" w:ascii="David" w:hAnsi="David" w:cs="David"/>
          <w:sz w:val="24"/>
          <w:szCs w:val="24"/>
          <w:rtl/>
        </w:rPr>
        <w:t xml:space="preserve">את </w:t>
      </w:r>
      <w:r>
        <w:rPr>
          <w:rFonts w:ascii="David" w:hAnsi="David" w:cs="David"/>
          <w:sz w:val="24"/>
          <w:szCs w:val="24"/>
          <w:rtl/>
        </w:rPr>
        <w:t>אפשרות חתימת הסכמי המכר. לפיכך, בית המשפט לא נדרש להכריע בטענות הצדדים, אף לא בהליך הסעד הזמני וממילא לא ניתנה החלטה כלשהי אשר מתייחסת לטענות הצדדים לגופן</w:t>
      </w:r>
      <w:r w:rsidR="00D549BE">
        <w:rPr>
          <w:rFonts w:hint="cs" w:ascii="David" w:hAnsi="David" w:cs="David"/>
          <w:sz w:val="24"/>
          <w:szCs w:val="24"/>
          <w:rtl/>
        </w:rPr>
        <w:t xml:space="preserve"> (אפילו לא להיבט הלכאורי)</w:t>
      </w:r>
      <w:r>
        <w:rPr>
          <w:rFonts w:ascii="David" w:hAnsi="David" w:cs="David"/>
          <w:sz w:val="24"/>
          <w:szCs w:val="24"/>
          <w:rtl/>
        </w:rPr>
        <w:t>.</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על מנת להסיר כל ספק ביחס לכך, הובהר בהחלטת בית המשפט (כב' השופט דנינו) שניתנה בהליך הסעד הזמני, כי "למען הסר ספק, מובהר בזאת פעם נוספת, כי החלטה זו כוחה יפה אך בעניין הסעד הזמני, וכי במסגרת התיק העיקרי יהיה בידי הצדדים לשכנע את בית המשפט בדבר צדקת טענותיהם לגופו של עניין". כך גם הובהר, ש"אפשר כי תוצרי התיק העיקרי יניבו מסקנה עובדתית שונה מזו אשר נגלתה במסגרת הסעד הזמני, וכתוצאה מכך, הדבר עלול להשפיע על מערך הזכויות שבין הצדדים".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במסגרת הליך סעד זמני רשאים הצדדים להסתמך גם על עדויות מכלי שני, שאינן עדויות ישירות. כזכור, תצהירי הנתבעים לסעד הזמני הוגשו באופן מ</w:t>
      </w:r>
      <w:r w:rsidR="00D7694F">
        <w:rPr>
          <w:rFonts w:hint="cs" w:ascii="David" w:hAnsi="David" w:cs="David"/>
          <w:sz w:val="24"/>
          <w:szCs w:val="24"/>
          <w:rtl/>
        </w:rPr>
        <w:t>י</w:t>
      </w:r>
      <w:r>
        <w:rPr>
          <w:rFonts w:ascii="David" w:hAnsi="David" w:cs="David"/>
          <w:sz w:val="24"/>
          <w:szCs w:val="24"/>
          <w:rtl/>
        </w:rPr>
        <w:t>ידי, נוכח הדחיפות הנטענת על ידי התובעת, והעדים שתצהירם הוגש והעידו מטעם הנתבעות בהליך הסעד הזמני, לא הכירו באופן ישיר את הנסיבות הנוגעות לאופן מסירת המגרש לתובעת.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למותר לציין כי עדותם של העדים בדיון בסעד הזמני היתה קצרה, במסגרת דיון מצומצם בהליך הסעד הזמני. במסגרת שמיעת הראיות בתיק העיקרי, הוגשו עדויות ארוכות ומפורטות של העדים ה</w:t>
      </w:r>
      <w:r w:rsidR="009B404C">
        <w:rPr>
          <w:rFonts w:ascii="David" w:hAnsi="David" w:cs="David"/>
          <w:sz w:val="24"/>
          <w:szCs w:val="24"/>
          <w:rtl/>
        </w:rPr>
        <w:t>רלוונטי</w:t>
      </w:r>
      <w:r>
        <w:rPr>
          <w:rFonts w:ascii="David" w:hAnsi="David" w:cs="David"/>
          <w:sz w:val="24"/>
          <w:szCs w:val="24"/>
          <w:rtl/>
        </w:rPr>
        <w:t>ים, והעדים נחקרו בחקירות נגדיות ממושכות שהתפרסו על פני מספר דיוני הוכחות ארוכים הכוללים מאות עמודי פרוטוקול של עדויות. משקל העדויות בהליך הסעד הזמני הוא לפיכך בטל בשישים ביחס לעומק החקירה והבירור העובדתי שנעשו במסגרת הדיון בתיק העיקרי.</w:t>
      </w:r>
    </w:p>
    <w:p w:rsidRPr="00A55E33" w:rsidR="00C812D4" w:rsidP="00751AF8" w:rsidRDefault="00C812D4">
      <w:pPr>
        <w:pStyle w:val="ad"/>
        <w:spacing w:after="240" w:line="360" w:lineRule="auto"/>
        <w:ind w:left="284" w:right="-170"/>
        <w:contextualSpacing w:val="0"/>
        <w:jc w:val="both"/>
        <w:rPr>
          <w:rFonts w:ascii="David" w:hAnsi="David" w:cs="David"/>
          <w:b/>
          <w:bCs/>
          <w:sz w:val="24"/>
          <w:szCs w:val="24"/>
          <w:u w:val="single"/>
          <w:rtl/>
        </w:rPr>
      </w:pPr>
      <w:r w:rsidRPr="00A55E33">
        <w:rPr>
          <w:rFonts w:ascii="David" w:hAnsi="David" w:cs="David"/>
          <w:b/>
          <w:bCs/>
          <w:sz w:val="24"/>
          <w:szCs w:val="24"/>
          <w:u w:val="single"/>
          <w:rtl/>
        </w:rPr>
        <w:t>המסכת העובדתית לגבי מסירת מגרש 14 לידי התובעת</w:t>
      </w:r>
    </w:p>
    <w:p w:rsidR="00C812D4" w:rsidP="003A37D9"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דחיית גרסת העד</w:t>
      </w:r>
      <w:r w:rsidR="003A37D9">
        <w:rPr>
          <w:rFonts w:hint="cs" w:ascii="David" w:hAnsi="David" w:cs="David"/>
          <w:sz w:val="24"/>
          <w:szCs w:val="24"/>
          <w:u w:val="single"/>
          <w:rtl/>
        </w:rPr>
        <w:t xml:space="preserve"> מטעם התובעת לפיה</w:t>
      </w:r>
      <w:r>
        <w:rPr>
          <w:rFonts w:ascii="David" w:hAnsi="David" w:cs="David"/>
          <w:sz w:val="24"/>
          <w:szCs w:val="24"/>
          <w:u w:val="single"/>
          <w:rtl/>
        </w:rPr>
        <w:t xml:space="preserve"> המגרש מעולם לא נמסר</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לטענת התובעת, וכפי גרסת מנהל התובעת בעדותו, למעשה האתר מעולם לא נמסר לתובעת. גרסה זו אינה יכולה לעמוד, שכן מגולמת בה סתירה מובנית, שהרי ברור כי בשלב מסוים המגרש כן נמסר לתובעת, והשאלה היא מתי. חרף זאת, מנהל התובעת חזר בעדותו בבית המשפט על טענה זו, כאילו המגרש מעולם לא נמסר לתובעת, ובכך למעשה לא מסר כל גרסה עובדתית ביחס לשאלה </w:t>
      </w:r>
      <w:r w:rsidR="00D7694F">
        <w:rPr>
          <w:rFonts w:hint="cs" w:ascii="David" w:hAnsi="David" w:cs="David"/>
          <w:sz w:val="24"/>
          <w:szCs w:val="24"/>
          <w:rtl/>
        </w:rPr>
        <w:t>הדורשת</w:t>
      </w:r>
      <w:r>
        <w:rPr>
          <w:rFonts w:ascii="David" w:hAnsi="David" w:cs="David"/>
          <w:sz w:val="24"/>
          <w:szCs w:val="24"/>
          <w:rtl/>
        </w:rPr>
        <w:t xml:space="preserve"> בירור והכרעה, מתי למעשה נמסר המגרש לתובעת.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גם כאשר הוצג בפני מנהל התובעת הקושי הטמון בגרסה עובדתית זו, עמד עליה והמשיך לטעון כי "</w:t>
      </w:r>
      <w:r>
        <w:rPr>
          <w:rFonts w:ascii="David" w:hAnsi="David" w:cs="David"/>
          <w:rtl/>
        </w:rPr>
        <w:t xml:space="preserve">עד היום לא קיבלתי" (ראו: </w:t>
      </w:r>
      <w:r>
        <w:rPr>
          <w:rFonts w:ascii="David" w:hAnsi="David" w:cs="David"/>
          <w:sz w:val="24"/>
          <w:szCs w:val="24"/>
          <w:rtl/>
        </w:rPr>
        <w:t>עמ' 61, שורות 33-34)</w:t>
      </w:r>
      <w:r>
        <w:rPr>
          <w:rFonts w:ascii="David" w:hAnsi="David" w:cs="David"/>
          <w:rtl/>
        </w:rPr>
        <w:t>.</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מנהל התובעת דבק בעדותו בקו זה של טיעון שהועלה על ידי התובעת בתביעתה, וזאת חרף כך שהובהר לו בחקירתו הנגדית עד כמה גרסה עובדתית זו מתעלמת מהמציאות (ראו: עמ' 62, שורות 1-6):</w:t>
      </w:r>
    </w:p>
    <w:p w:rsidR="00C812D4" w:rsidP="003A37D9" w:rsidRDefault="00C812D4">
      <w:pPr>
        <w:pStyle w:val="ad"/>
        <w:spacing w:after="120" w:line="240" w:lineRule="auto"/>
        <w:ind w:left="1248" w:right="794" w:hanging="454"/>
        <w:contextualSpacing w:val="0"/>
        <w:jc w:val="both"/>
        <w:rPr>
          <w:rFonts w:ascii="David" w:hAnsi="David" w:cs="David"/>
          <w:sz w:val="24"/>
          <w:szCs w:val="24"/>
        </w:rPr>
      </w:pPr>
      <w:r>
        <w:rPr>
          <w:rFonts w:ascii="David" w:hAnsi="David" w:cs="David"/>
          <w:sz w:val="24"/>
          <w:szCs w:val="24"/>
          <w:rtl/>
        </w:rPr>
        <w:t>"...בנית בניין? יש בניין?</w:t>
      </w:r>
    </w:p>
    <w:p w:rsidR="00C812D4" w:rsidP="003A37D9" w:rsidRDefault="00C812D4">
      <w:pPr>
        <w:pStyle w:val="ad"/>
        <w:spacing w:after="120" w:line="240" w:lineRule="auto"/>
        <w:ind w:left="1248" w:right="794" w:hanging="454"/>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הבניין הבנייה,</w:t>
      </w:r>
    </w:p>
    <w:p w:rsidR="00C812D4" w:rsidP="003A37D9" w:rsidRDefault="00C812D4">
      <w:pPr>
        <w:pStyle w:val="ad"/>
        <w:spacing w:after="120" w:line="240" w:lineRule="auto"/>
        <w:ind w:left="1248" w:right="794" w:hanging="454"/>
        <w:contextualSpacing w:val="0"/>
        <w:jc w:val="both"/>
        <w:rPr>
          <w:rFonts w:ascii="David" w:hAnsi="David" w:cs="David"/>
          <w:sz w:val="24"/>
          <w:szCs w:val="24"/>
          <w:rtl/>
        </w:rPr>
      </w:pPr>
      <w:r>
        <w:rPr>
          <w:rFonts w:ascii="David" w:hAnsi="David" w:cs="David"/>
          <w:sz w:val="24"/>
          <w:szCs w:val="24"/>
          <w:rtl/>
        </w:rPr>
        <w:t xml:space="preserve">ש.: </w:t>
      </w:r>
      <w:r>
        <w:rPr>
          <w:rFonts w:ascii="David" w:hAnsi="David" w:cs="David"/>
          <w:sz w:val="24"/>
          <w:szCs w:val="24"/>
          <w:rtl/>
        </w:rPr>
        <w:tab/>
        <w:t>הבניין בבנייה, אז קיבלת,</w:t>
      </w:r>
    </w:p>
    <w:p w:rsidR="00C812D4" w:rsidP="003A37D9" w:rsidRDefault="00C812D4">
      <w:pPr>
        <w:pStyle w:val="ad"/>
        <w:spacing w:after="120" w:line="240" w:lineRule="auto"/>
        <w:ind w:left="1248" w:right="794" w:hanging="454"/>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בעזרת השם יגמר בזמן</w:t>
      </w:r>
    </w:p>
    <w:p w:rsidR="00C812D4" w:rsidP="003A37D9" w:rsidRDefault="00C812D4">
      <w:pPr>
        <w:pStyle w:val="ad"/>
        <w:spacing w:after="120" w:line="240" w:lineRule="auto"/>
        <w:ind w:left="1248" w:right="794" w:hanging="454"/>
        <w:contextualSpacing w:val="0"/>
        <w:jc w:val="both"/>
        <w:rPr>
          <w:rFonts w:ascii="David" w:hAnsi="David" w:cs="David"/>
          <w:sz w:val="24"/>
          <w:szCs w:val="24"/>
          <w:rtl/>
        </w:rPr>
      </w:pPr>
      <w:r>
        <w:rPr>
          <w:rFonts w:ascii="David" w:hAnsi="David" w:cs="David"/>
          <w:sz w:val="24"/>
          <w:szCs w:val="24"/>
          <w:rtl/>
        </w:rPr>
        <w:t xml:space="preserve">ש.: </w:t>
      </w:r>
      <w:r>
        <w:rPr>
          <w:rFonts w:ascii="David" w:hAnsi="David" w:cs="David"/>
          <w:sz w:val="24"/>
          <w:szCs w:val="24"/>
          <w:rtl/>
        </w:rPr>
        <w:tab/>
        <w:t>אז קיבלת את המגרש</w:t>
      </w:r>
    </w:p>
    <w:p w:rsidR="00C812D4" w:rsidP="00771BEF" w:rsidRDefault="00C812D4">
      <w:pPr>
        <w:pStyle w:val="ad"/>
        <w:spacing w:after="240" w:line="240" w:lineRule="auto"/>
        <w:ind w:left="1248" w:right="794" w:hanging="454"/>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לא קיבלתי מגרש".</w:t>
      </w:r>
    </w:p>
    <w:p w:rsidR="00C812D4" w:rsidP="00771BEF" w:rsidRDefault="00C812D4">
      <w:pPr>
        <w:pStyle w:val="ad"/>
        <w:numPr>
          <w:ilvl w:val="0"/>
          <w:numId w:val="1"/>
        </w:numPr>
        <w:spacing w:before="120"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מכל מקום, גרסתו של העד מטעם התובעת כאמור סותרת את טענת התובעת לפיה מסירת המגרש יכולה היתה להתבצע רק בכפוף לחתימתה על פרוטוקול מסירה. כעובדה, המגרש הועמד לרשות התובעת והיא אף פעלה במגרש כאשר רצתה בכך בכל דבר ועניין, גם ללא שחתמה על טופס פרוטוקול המסירה.</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ניסיון</w:t>
      </w:r>
      <w:r w:rsidR="00751AF8">
        <w:rPr>
          <w:rFonts w:hint="cs" w:ascii="David" w:hAnsi="David" w:cs="David"/>
          <w:sz w:val="24"/>
          <w:szCs w:val="24"/>
          <w:u w:val="single"/>
          <w:rtl/>
        </w:rPr>
        <w:t xml:space="preserve"> </w:t>
      </w:r>
      <w:r w:rsidR="0027216D">
        <w:rPr>
          <w:rFonts w:hint="cs" w:ascii="David" w:hAnsi="David" w:cs="David"/>
          <w:sz w:val="24"/>
          <w:szCs w:val="24"/>
          <w:u w:val="single"/>
          <w:rtl/>
        </w:rPr>
        <w:t>ה</w:t>
      </w:r>
      <w:r w:rsidR="00751AF8">
        <w:rPr>
          <w:rFonts w:hint="cs" w:ascii="David" w:hAnsi="David" w:cs="David"/>
          <w:sz w:val="24"/>
          <w:szCs w:val="24"/>
          <w:u w:val="single"/>
          <w:rtl/>
        </w:rPr>
        <w:t>מסירה</w:t>
      </w:r>
      <w:r>
        <w:rPr>
          <w:rFonts w:ascii="David" w:hAnsi="David" w:cs="David"/>
          <w:sz w:val="24"/>
          <w:szCs w:val="24"/>
          <w:u w:val="single"/>
          <w:rtl/>
        </w:rPr>
        <w:t xml:space="preserve"> </w:t>
      </w:r>
      <w:r w:rsidR="0027216D">
        <w:rPr>
          <w:rFonts w:hint="cs" w:ascii="David" w:hAnsi="David" w:cs="David"/>
          <w:sz w:val="24"/>
          <w:szCs w:val="24"/>
          <w:u w:val="single"/>
          <w:rtl/>
        </w:rPr>
        <w:t>ה</w:t>
      </w:r>
      <w:r>
        <w:rPr>
          <w:rFonts w:ascii="David" w:hAnsi="David" w:cs="David"/>
          <w:sz w:val="24"/>
          <w:szCs w:val="24"/>
          <w:u w:val="single"/>
          <w:rtl/>
        </w:rPr>
        <w:t>ראשון</w:t>
      </w:r>
      <w:r w:rsidR="00751AF8">
        <w:rPr>
          <w:rFonts w:hint="cs" w:ascii="David" w:hAnsi="David" w:cs="David"/>
          <w:sz w:val="24"/>
          <w:szCs w:val="24"/>
          <w:u w:val="single"/>
          <w:rtl/>
        </w:rPr>
        <w:t xml:space="preserve"> ביום</w:t>
      </w:r>
      <w:r>
        <w:rPr>
          <w:rFonts w:ascii="David" w:hAnsi="David" w:cs="David"/>
          <w:sz w:val="24"/>
          <w:szCs w:val="24"/>
          <w:u w:val="single"/>
          <w:rtl/>
        </w:rPr>
        <w:t xml:space="preserve"> 21.6.2018</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ביום 21.6.2018 נעשה ניסיון ראשון למסירת מגרשים 13 ו-14, כאשר נציגים מטעם התובעת, ובהם האדריכל מיכאל זליזוצקי והמהנדס אלמוג עמנואל, הגיעו לשטח.</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כאשר הועלו טענות התובעת בפני משרד הבינוי והשיכון לגבי מועד מסירת מגרש 14, ואלו ביקשו לקבל עדכון מהחברה הכלכלית בעניין זה, נמסר בתחילה כי המגרשים נמסרו לתובעת במועד זה.</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כפי שעלה מתוך בירור נוסף שנערך לפי דרישת משרד הבינוי והשיכון, וכעולה גם מהעדויות של העדים בהליך המשפטי, נציגי התובעת סירבו לקבל את המגרשים באותו מועד בטענה לפיה טרם הסתיים ביצוע האספלט וכן בשל כך שעדיין היה קיים חומר חפור שטרם פונה.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כך עלה, כי המידע שנמסר בתחילה בדבר מסירת המגרשים ביום 21.6.2018 לא היה מדויק, ולמעשה אין מחלוקת בין הצדדים במסגרת בירור ההליך המשפטי, כי לא ניתן לראות במפגש שנערך בשטח ביום 21.6.2018 כהשלמת מסירת המגרשים.</w:t>
      </w:r>
    </w:p>
    <w:p w:rsidR="00C812D4" w:rsidP="00751AF8" w:rsidRDefault="00C812D4">
      <w:pPr>
        <w:pStyle w:val="ad"/>
        <w:spacing w:after="240" w:line="360" w:lineRule="auto"/>
        <w:ind w:left="284" w:right="-170"/>
        <w:contextualSpacing w:val="0"/>
        <w:jc w:val="both"/>
        <w:rPr>
          <w:rFonts w:ascii="David" w:hAnsi="David" w:cs="David"/>
          <w:sz w:val="24"/>
          <w:szCs w:val="24"/>
          <w:u w:val="single"/>
          <w:rtl/>
        </w:rPr>
      </w:pPr>
      <w:r>
        <w:rPr>
          <w:rFonts w:ascii="David" w:hAnsi="David" w:cs="David"/>
          <w:sz w:val="24"/>
          <w:szCs w:val="24"/>
          <w:u w:val="single"/>
          <w:rtl/>
        </w:rPr>
        <w:t xml:space="preserve">מפגש </w:t>
      </w:r>
      <w:r w:rsidR="0027216D">
        <w:rPr>
          <w:rFonts w:hint="cs" w:ascii="David" w:hAnsi="David" w:cs="David"/>
          <w:sz w:val="24"/>
          <w:szCs w:val="24"/>
          <w:u w:val="single"/>
          <w:rtl/>
        </w:rPr>
        <w:t>ה</w:t>
      </w:r>
      <w:r>
        <w:rPr>
          <w:rFonts w:ascii="David" w:hAnsi="David" w:cs="David"/>
          <w:sz w:val="24"/>
          <w:szCs w:val="24"/>
          <w:u w:val="single"/>
          <w:rtl/>
        </w:rPr>
        <w:t>מסירה ביום 20.12.2018</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ביום 20.12.2018 החברה הכלכלית נערכה למסור את המגרש לתובעת, ונציגי התובעת והחברה הכלכלית הגיעו למגרש.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במפגש זה סירבו נציגי התובעת לקבל את מגרש 14 בטענה לקיומה של ערימת חול המצויה עדיין בתחום המגרש.</w:t>
      </w:r>
    </w:p>
    <w:p w:rsidR="00F52466" w:rsidP="00D7694F" w:rsidRDefault="00F52466">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בהודעה מטעם התובעת מיום 24.12.2018 (מוצג 23 מטעם התובעת) כפרה התובעת בכך ששני המגרשים 13 ו-14, נמסרו לה במפגש יום 20.12.</w:t>
      </w:r>
      <w:r w:rsidR="00D7694F">
        <w:rPr>
          <w:rFonts w:hint="cs" w:ascii="David" w:hAnsi="David" w:cs="David"/>
          <w:sz w:val="24"/>
          <w:szCs w:val="24"/>
          <w:rtl/>
        </w:rPr>
        <w:t>2018</w:t>
      </w:r>
      <w:r>
        <w:rPr>
          <w:rFonts w:hint="cs" w:ascii="David" w:hAnsi="David" w:cs="David"/>
          <w:sz w:val="24"/>
          <w:szCs w:val="24"/>
          <w:rtl/>
        </w:rPr>
        <w:t>. נטען כי לא סומנו כל הגבולות, לא נמסרה מפת מדידה, לא הסתיים פ</w:t>
      </w:r>
      <w:r w:rsidR="00D7694F">
        <w:rPr>
          <w:rFonts w:hint="cs" w:ascii="David" w:hAnsi="David" w:cs="David"/>
          <w:sz w:val="24"/>
          <w:szCs w:val="24"/>
          <w:rtl/>
        </w:rPr>
        <w:t>י</w:t>
      </w:r>
      <w:r>
        <w:rPr>
          <w:rFonts w:hint="cs" w:ascii="David" w:hAnsi="David" w:cs="David"/>
          <w:sz w:val="24"/>
          <w:szCs w:val="24"/>
          <w:rtl/>
        </w:rPr>
        <w:t>נוי העפר, ולא בוצעו מדרכות. במענה לכך, השיב הנציג שפעל מטעם החברה הכלכלית ביום 25.12.2018</w:t>
      </w:r>
      <w:r w:rsidR="005530DF">
        <w:rPr>
          <w:rFonts w:hint="cs" w:ascii="David" w:hAnsi="David" w:cs="David"/>
          <w:sz w:val="24"/>
          <w:szCs w:val="24"/>
          <w:rtl/>
        </w:rPr>
        <w:t xml:space="preserve"> (מוצג 24 למוצגי התובעת) </w:t>
      </w:r>
      <w:r>
        <w:rPr>
          <w:rFonts w:hint="cs" w:ascii="David" w:hAnsi="David" w:cs="David"/>
          <w:sz w:val="24"/>
          <w:szCs w:val="24"/>
          <w:rtl/>
        </w:rPr>
        <w:t>כי במגרש 13 התקיימו כל הדרישות לביצוע מסירה. לגבי מגרש 14 נמסר כי השטח מוכן למסירה והתוב</w:t>
      </w:r>
      <w:r w:rsidR="005530DF">
        <w:rPr>
          <w:rFonts w:hint="cs" w:ascii="David" w:hAnsi="David" w:cs="David"/>
          <w:sz w:val="24"/>
          <w:szCs w:val="24"/>
          <w:rtl/>
        </w:rPr>
        <w:t>עת תוזמן למסירה מסודרת בהקדם.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 xml:space="preserve">בהליך עלו שתי מחלוקות עובדתיות ביחס לאירועים הנוגעים למפגש שנערך בשטח ביום 20.12.2018. המחלוקת </w:t>
      </w:r>
      <w:r w:rsidR="00D7694F">
        <w:rPr>
          <w:rFonts w:hint="cs" w:ascii="David" w:hAnsi="David" w:cs="David"/>
          <w:sz w:val="24"/>
          <w:szCs w:val="24"/>
          <w:rtl/>
        </w:rPr>
        <w:t>ה</w:t>
      </w:r>
      <w:r>
        <w:rPr>
          <w:rFonts w:ascii="David" w:hAnsi="David" w:cs="David"/>
          <w:sz w:val="24"/>
          <w:szCs w:val="24"/>
          <w:rtl/>
        </w:rPr>
        <w:t>ראשונה נוגעת לשאלה, האם באותו מועד כבר נמסרו נקודות הסימון של המגרש. המחלוקת השניה, שהיא מחלוקת מרכזית ובעלת חשיבות מכרעת בהליך, נוגעת לשאלה מתי פונתה ערימת העפר שעדיין היתה מצויה בשולי מגרש 14 ואשר על יסוד הימצאותה במקום סירבה התובעת לקבל לידיה את מגרש 14 במפגש המסירה מיום 20.12.2018.</w:t>
      </w:r>
    </w:p>
    <w:p w:rsidR="00C812D4" w:rsidP="0027216D"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 xml:space="preserve">מסירת מפת המדידה לתובעת במפגש </w:t>
      </w:r>
      <w:r w:rsidR="0027216D">
        <w:rPr>
          <w:rFonts w:hint="cs" w:ascii="David" w:hAnsi="David" w:cs="David"/>
          <w:sz w:val="24"/>
          <w:szCs w:val="24"/>
          <w:u w:val="single"/>
          <w:rtl/>
        </w:rPr>
        <w:t>מיום 20.12.2018</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התובעת הדגישה בטיעוניה את הצורך במסירת מפת מדידה של גבולות המגרש, כחלק מהליך מסירת המגרש. </w:t>
      </w:r>
    </w:p>
    <w:p w:rsidR="00C812D4" w:rsidP="003607A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לעניין נקודות הסימון, טען מר חליס בסעיף 2</w:t>
      </w:r>
      <w:r w:rsidR="003607A8">
        <w:rPr>
          <w:rFonts w:hint="cs" w:ascii="David" w:hAnsi="David" w:cs="David"/>
          <w:sz w:val="24"/>
          <w:szCs w:val="24"/>
          <w:rtl/>
        </w:rPr>
        <w:t>3</w:t>
      </w:r>
      <w:r>
        <w:rPr>
          <w:rFonts w:ascii="David" w:hAnsi="David" w:cs="David"/>
          <w:sz w:val="24"/>
          <w:szCs w:val="24"/>
          <w:rtl/>
        </w:rPr>
        <w:t xml:space="preserve"> לתצהירו כי באותו מפגש, "נמסרו לתובעת קבצי סימון ומדידה של מגרש 14, וביצענו ביחד עם נציגי התובעת סימון בשטח של נקודות המגרש (כלומר – מסרנו לתובעת את יתדות הסימון</w:t>
      </w:r>
      <w:r w:rsidR="003607A8">
        <w:rPr>
          <w:rFonts w:hint="cs" w:ascii="David" w:hAnsi="David" w:cs="David"/>
          <w:sz w:val="24"/>
          <w:szCs w:val="24"/>
          <w:rtl/>
        </w:rPr>
        <w:t>..)</w:t>
      </w:r>
      <w:r>
        <w:rPr>
          <w:rFonts w:ascii="David" w:hAnsi="David" w:cs="David"/>
          <w:sz w:val="24"/>
          <w:szCs w:val="24"/>
          <w:rtl/>
        </w:rPr>
        <w:t>".</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עדותו תואמת את הדיווח המ</w:t>
      </w:r>
      <w:r w:rsidR="00D7694F">
        <w:rPr>
          <w:rFonts w:hint="cs" w:ascii="David" w:hAnsi="David" w:cs="David"/>
          <w:sz w:val="24"/>
          <w:szCs w:val="24"/>
          <w:rtl/>
        </w:rPr>
        <w:t>י</w:t>
      </w:r>
      <w:r>
        <w:rPr>
          <w:rFonts w:ascii="David" w:hAnsi="David" w:cs="David"/>
          <w:sz w:val="24"/>
          <w:szCs w:val="24"/>
          <w:rtl/>
        </w:rPr>
        <w:t>ידי שהוציא לממונה עליו לאחר המפגש באותו יום</w:t>
      </w:r>
      <w:r w:rsidR="003607A8">
        <w:rPr>
          <w:rFonts w:hint="cs" w:ascii="David" w:hAnsi="David" w:cs="David"/>
          <w:sz w:val="24"/>
          <w:szCs w:val="24"/>
          <w:rtl/>
        </w:rPr>
        <w:t xml:space="preserve"> (נספח 6 לתצהיר)</w:t>
      </w:r>
      <w:r>
        <w:rPr>
          <w:rFonts w:ascii="David" w:hAnsi="David" w:cs="David"/>
          <w:sz w:val="24"/>
          <w:szCs w:val="24"/>
          <w:rtl/>
        </w:rPr>
        <w:t xml:space="preserve"> במסגרתו דיווח כי "נקודות מגרש 14 סומנו למעט מס' נקודות שמיקומם היה בתוך החומר שבימים אלו נחפר ויוצא מהשטח, הנקודות החסרות סומנו גם כן במרחק הבטחה של 40 מטר ממקומם".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משעלתה טענה זו בתצהירו של מר חליס, מיהרה התובעת להתנגד לה ובקשר לכך הוגש תצהירו המשלים של מנהל התובעת, מר כהן, במסגרתו הכחיש את הטענה לפיה נמסרה לתובעת במסגרת הפגישה בשטח ביום 20.12.2018 מפת המדידה של המגרש.</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גם בעדותו בבית המשפט הכחיש מר כהן מכל וכל שקיבל מאיציק חליס תוכנית סימון מנייר במפגש המסירה שנערך בשטח בחודש דצמבר 2018.</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מנהל התובעת חזר וטען בעדותו כי התובעת לא קיבלה מעולם קבצי סימון וכי נאלצה לבצע סימון מגרש על חשבונה.</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במחלוקת העובדתית  האמורה ביחס לביצוע סימון המגרש ומסירת קבצי </w:t>
      </w:r>
      <w:r w:rsidR="003607A8">
        <w:rPr>
          <w:rFonts w:hint="cs" w:ascii="David" w:hAnsi="David" w:cs="David"/>
          <w:sz w:val="24"/>
          <w:szCs w:val="24"/>
          <w:rtl/>
        </w:rPr>
        <w:t xml:space="preserve">סימון </w:t>
      </w:r>
      <w:r>
        <w:rPr>
          <w:rFonts w:ascii="David" w:hAnsi="David" w:cs="David"/>
          <w:sz w:val="24"/>
          <w:szCs w:val="24"/>
          <w:rtl/>
        </w:rPr>
        <w:t xml:space="preserve">אני מוצא לקבל את עדותו של </w:t>
      </w:r>
      <w:r w:rsidR="003607A8">
        <w:rPr>
          <w:rFonts w:hint="cs" w:ascii="David" w:hAnsi="David" w:cs="David"/>
          <w:sz w:val="24"/>
          <w:szCs w:val="24"/>
          <w:rtl/>
        </w:rPr>
        <w:t>מר</w:t>
      </w:r>
      <w:r>
        <w:rPr>
          <w:rFonts w:ascii="David" w:hAnsi="David" w:cs="David"/>
          <w:sz w:val="24"/>
          <w:szCs w:val="24"/>
          <w:rtl/>
        </w:rPr>
        <w:t xml:space="preserve"> חליס שנמצאה כעדיפה ומשכנעת </w:t>
      </w:r>
      <w:r w:rsidR="00D7694F">
        <w:rPr>
          <w:rFonts w:hint="cs" w:ascii="David" w:hAnsi="David" w:cs="David"/>
          <w:sz w:val="24"/>
          <w:szCs w:val="24"/>
          <w:rtl/>
        </w:rPr>
        <w:t>מ</w:t>
      </w:r>
      <w:r>
        <w:rPr>
          <w:rFonts w:ascii="David" w:hAnsi="David" w:cs="David"/>
          <w:sz w:val="24"/>
          <w:szCs w:val="24"/>
          <w:rtl/>
        </w:rPr>
        <w:t>עדותו של מנהל התובעת.</w:t>
      </w:r>
    </w:p>
    <w:p w:rsidR="00C812D4" w:rsidP="003607A8" w:rsidRDefault="003607A8">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כפי שצוין לעיל, </w:t>
      </w:r>
      <w:r w:rsidR="00C812D4">
        <w:rPr>
          <w:rFonts w:ascii="David" w:hAnsi="David" w:cs="David"/>
          <w:sz w:val="24"/>
          <w:szCs w:val="24"/>
          <w:rtl/>
        </w:rPr>
        <w:t xml:space="preserve">בדיווח שמסר </w:t>
      </w:r>
      <w:r>
        <w:rPr>
          <w:rFonts w:hint="cs" w:ascii="David" w:hAnsi="David" w:cs="David"/>
          <w:sz w:val="24"/>
          <w:szCs w:val="24"/>
          <w:rtl/>
        </w:rPr>
        <w:t xml:space="preserve">מר </w:t>
      </w:r>
      <w:r w:rsidR="00C812D4">
        <w:rPr>
          <w:rFonts w:ascii="David" w:hAnsi="David" w:cs="David"/>
          <w:sz w:val="24"/>
          <w:szCs w:val="24"/>
          <w:rtl/>
        </w:rPr>
        <w:t>חליס לממונה עליו מיד לאחר המפגש בשטח נמסר כי היזם הגיע ל</w:t>
      </w:r>
      <w:r w:rsidR="00D7694F">
        <w:rPr>
          <w:rFonts w:ascii="David" w:hAnsi="David" w:cs="David"/>
          <w:sz w:val="24"/>
          <w:szCs w:val="24"/>
          <w:rtl/>
        </w:rPr>
        <w:t xml:space="preserve">מסירה ביום 20.12.2018 וצוין כי </w:t>
      </w:r>
      <w:r w:rsidR="00C812D4">
        <w:rPr>
          <w:rFonts w:ascii="David" w:hAnsi="David" w:cs="David"/>
          <w:sz w:val="24"/>
          <w:szCs w:val="24"/>
          <w:rtl/>
        </w:rPr>
        <w:t xml:space="preserve">נקודות הסימון למגרש 13 סומנו במלואן, וגם במגרש 14 </w:t>
      </w:r>
      <w:r w:rsidR="00C812D4">
        <w:rPr>
          <w:rFonts w:ascii="David" w:hAnsi="David" w:cs="David"/>
          <w:sz w:val="24"/>
          <w:szCs w:val="24"/>
          <w:rtl/>
        </w:rPr>
        <w:lastRenderedPageBreak/>
        <w:t xml:space="preserve">"נקודות סומנו למעט מס' נקודות שמיקומם היה בתוך החומר שבימים אלו נחפר ויוצא מהשטח, הנקודות החסרות סומנו גם כן במרחק הבטחה של 40 מטר ממקומם". </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עוד  נמסר בדיווח האמור</w:t>
      </w:r>
      <w:r w:rsidR="003607A8">
        <w:rPr>
          <w:rFonts w:hint="cs" w:ascii="David" w:hAnsi="David" w:cs="David"/>
          <w:sz w:val="24"/>
          <w:szCs w:val="24"/>
          <w:rtl/>
        </w:rPr>
        <w:t xml:space="preserve"> (נספח 6 לתצהיר)</w:t>
      </w:r>
      <w:r>
        <w:rPr>
          <w:rFonts w:ascii="David" w:hAnsi="David" w:cs="David"/>
          <w:sz w:val="24"/>
          <w:szCs w:val="24"/>
          <w:rtl/>
        </w:rPr>
        <w:t xml:space="preserve">, אשר עולה </w:t>
      </w:r>
      <w:r w:rsidR="00D7694F">
        <w:rPr>
          <w:rFonts w:hint="cs" w:ascii="David" w:hAnsi="David" w:cs="David"/>
          <w:sz w:val="24"/>
          <w:szCs w:val="24"/>
          <w:rtl/>
        </w:rPr>
        <w:t>ש</w:t>
      </w:r>
      <w:r>
        <w:rPr>
          <w:rFonts w:ascii="David" w:hAnsi="David" w:cs="David"/>
          <w:sz w:val="24"/>
          <w:szCs w:val="24"/>
          <w:rtl/>
        </w:rPr>
        <w:t xml:space="preserve">הוא אותנטי ומשקף את מהלך הדברים במפגש האמור, כי "אני ואלמוג מכוכב הנגב ואורי מקו מדידה עברנו על כל הנקודות שבמגרש 13 וראינו שהם נמצאים במקומם. אותו הדבר בוצע למגרש 14 והוסבר שישנם נקודות שהם במרחקי הבטחה". </w:t>
      </w:r>
    </w:p>
    <w:p w:rsidR="00C812D4" w:rsidP="003607A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בעמ' 118-119 </w:t>
      </w:r>
      <w:r w:rsidR="003607A8">
        <w:rPr>
          <w:rFonts w:hint="cs" w:ascii="David" w:hAnsi="David" w:cs="David"/>
          <w:sz w:val="24"/>
          <w:szCs w:val="24"/>
          <w:rtl/>
        </w:rPr>
        <w:t xml:space="preserve">לפרוטוקול הדיון מיום 23.10.2025 </w:t>
      </w:r>
      <w:r>
        <w:rPr>
          <w:rFonts w:ascii="David" w:hAnsi="David" w:cs="David"/>
          <w:sz w:val="24"/>
          <w:szCs w:val="24"/>
          <w:rtl/>
        </w:rPr>
        <w:t xml:space="preserve">השיב מנהל התובעת לשאלות בנוגע לכך שאיציק חליס מסר לידיו במפגש בחודש דצמבר 2018 את מפות המדידה </w:t>
      </w:r>
      <w:r w:rsidR="003607A8">
        <w:rPr>
          <w:rFonts w:hint="cs" w:ascii="David" w:hAnsi="David" w:cs="David"/>
          <w:sz w:val="24"/>
          <w:szCs w:val="24"/>
          <w:rtl/>
        </w:rPr>
        <w:t>ותשובותיו של העד</w:t>
      </w:r>
      <w:r>
        <w:rPr>
          <w:rFonts w:ascii="David" w:hAnsi="David" w:cs="David"/>
          <w:sz w:val="24"/>
          <w:szCs w:val="24"/>
          <w:rtl/>
        </w:rPr>
        <w:t xml:space="preserve"> </w:t>
      </w:r>
      <w:r w:rsidR="003607A8">
        <w:rPr>
          <w:rFonts w:hint="cs" w:ascii="David" w:hAnsi="David" w:cs="David"/>
          <w:sz w:val="24"/>
          <w:szCs w:val="24"/>
          <w:rtl/>
        </w:rPr>
        <w:t xml:space="preserve">בנושא זה </w:t>
      </w:r>
      <w:r>
        <w:rPr>
          <w:rFonts w:ascii="David" w:hAnsi="David" w:cs="David"/>
          <w:sz w:val="24"/>
          <w:szCs w:val="24"/>
          <w:rtl/>
        </w:rPr>
        <w:t xml:space="preserve">לא היו משכנעות. בעמ' 120 שורה 3 </w:t>
      </w:r>
      <w:r w:rsidR="003607A8">
        <w:rPr>
          <w:rFonts w:hint="cs" w:ascii="David" w:hAnsi="David" w:cs="David"/>
          <w:sz w:val="24"/>
          <w:szCs w:val="24"/>
          <w:rtl/>
        </w:rPr>
        <w:t xml:space="preserve">לפרוטוקול </w:t>
      </w:r>
      <w:r>
        <w:rPr>
          <w:rFonts w:ascii="David" w:hAnsi="David" w:cs="David"/>
          <w:sz w:val="24"/>
          <w:szCs w:val="24"/>
          <w:rtl/>
        </w:rPr>
        <w:t xml:space="preserve">סיכם </w:t>
      </w:r>
      <w:r w:rsidR="003607A8">
        <w:rPr>
          <w:rFonts w:hint="cs" w:ascii="David" w:hAnsi="David" w:cs="David"/>
          <w:sz w:val="24"/>
          <w:szCs w:val="24"/>
          <w:rtl/>
        </w:rPr>
        <w:t>העד את עדותו בכך שאינו ז</w:t>
      </w:r>
      <w:r>
        <w:rPr>
          <w:rFonts w:ascii="David" w:hAnsi="David" w:cs="David"/>
          <w:sz w:val="24"/>
          <w:szCs w:val="24"/>
          <w:rtl/>
        </w:rPr>
        <w:t xml:space="preserve">וכר </w:t>
      </w:r>
      <w:r w:rsidR="003607A8">
        <w:rPr>
          <w:rFonts w:hint="cs" w:ascii="David" w:hAnsi="David" w:cs="David"/>
          <w:sz w:val="24"/>
          <w:szCs w:val="24"/>
          <w:rtl/>
        </w:rPr>
        <w:t xml:space="preserve">למעשה </w:t>
      </w:r>
      <w:r>
        <w:rPr>
          <w:rFonts w:ascii="David" w:hAnsi="David" w:cs="David"/>
          <w:sz w:val="24"/>
          <w:szCs w:val="24"/>
          <w:rtl/>
        </w:rPr>
        <w:t>האם קיבל נייר מאיציק חליס בפגישה בשטח באותו מועד.</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בדיווח שמסר איציק חליס לאחר המפגש לממונה עליו נמסר כי "היזם קיבל היום בשטח את תכנית הסימון לשני המגרשים (מנייר)". דיווח זה נשלח בזמן אמת, כדיווח פנימי ויש לראותו כמשקף את מהלך</w:t>
      </w:r>
      <w:r w:rsidR="00D7694F">
        <w:rPr>
          <w:rFonts w:ascii="David" w:hAnsi="David" w:cs="David"/>
          <w:sz w:val="24"/>
          <w:szCs w:val="24"/>
          <w:rtl/>
        </w:rPr>
        <w:t xml:space="preserve"> הדברים ובכלל ז</w:t>
      </w:r>
      <w:r w:rsidR="00D7694F">
        <w:rPr>
          <w:rFonts w:hint="cs" w:ascii="David" w:hAnsi="David" w:cs="David"/>
          <w:sz w:val="24"/>
          <w:szCs w:val="24"/>
          <w:rtl/>
        </w:rPr>
        <w:t>ה</w:t>
      </w:r>
      <w:r>
        <w:rPr>
          <w:rFonts w:ascii="David" w:hAnsi="David" w:cs="David"/>
          <w:sz w:val="24"/>
          <w:szCs w:val="24"/>
          <w:rtl/>
        </w:rPr>
        <w:t xml:space="preserve"> יש בו לתמוך בעדותו של איציק חליס לפיה נמסרו תכניות הסימון גם בעותק נייר.</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מועד פינוי ערימת העפר</w:t>
      </w:r>
    </w:p>
    <w:p w:rsidR="00C812D4" w:rsidP="00680129"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מנהל התובעת הדגיש בתצהירו כי מטרת מסירת המגרש היא לאפשר בנייה, אולם לגרסתו בחודש דצמבר 2018 המגרש לא היה במצב שמאפשר זאת עקב ערימת חול גדולה.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שאלת מצבו הפיזי של המגרש וקביעת המועד אשר בו היה המגרש מוכן לצרכי בנייה עליו מהווה סוגיה חשובה, נוכח הרציונל העומד מאחורי קביעת מגבלת תקופת ההצמדה, אשר מתחילה במועד שלב</w:t>
      </w:r>
      <w:r w:rsidR="003A37D9">
        <w:rPr>
          <w:rFonts w:hint="cs" w:ascii="David" w:hAnsi="David" w:cs="David"/>
          <w:sz w:val="24"/>
          <w:szCs w:val="24"/>
          <w:rtl/>
        </w:rPr>
        <w:t xml:space="preserve"> בנייה</w:t>
      </w:r>
      <w:r>
        <w:rPr>
          <w:rFonts w:ascii="David" w:hAnsi="David" w:cs="David"/>
          <w:sz w:val="24"/>
          <w:szCs w:val="24"/>
          <w:rtl/>
        </w:rPr>
        <w:t xml:space="preserve"> 0</w:t>
      </w:r>
      <w:r w:rsidR="003A37D9">
        <w:rPr>
          <w:rFonts w:ascii="David" w:hAnsi="David" w:cs="David"/>
          <w:sz w:val="24"/>
          <w:szCs w:val="24"/>
          <w:rtl/>
        </w:rPr>
        <w:t>5.</w:t>
      </w:r>
      <w:r>
        <w:rPr>
          <w:rFonts w:ascii="David" w:hAnsi="David" w:cs="David"/>
          <w:sz w:val="24"/>
          <w:szCs w:val="24"/>
          <w:rtl/>
        </w:rPr>
        <w:t xml:space="preserve"> </w:t>
      </w:r>
    </w:p>
    <w:p w:rsidR="00C812D4" w:rsidP="00680129"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tl/>
        </w:rPr>
      </w:pPr>
      <w:r>
        <w:rPr>
          <w:rFonts w:ascii="David" w:hAnsi="David" w:cs="David"/>
          <w:sz w:val="24"/>
          <w:szCs w:val="24"/>
          <w:rtl/>
        </w:rPr>
        <w:t>מכאן שעו</w:t>
      </w:r>
      <w:r w:rsidR="00680129">
        <w:rPr>
          <w:rFonts w:ascii="David" w:hAnsi="David" w:cs="David"/>
          <w:sz w:val="24"/>
          <w:szCs w:val="24"/>
          <w:rtl/>
        </w:rPr>
        <w:t>מדת להכרעה שאלה עובדתית מרכזית</w:t>
      </w:r>
      <w:r>
        <w:rPr>
          <w:rFonts w:ascii="David" w:hAnsi="David" w:cs="David"/>
          <w:sz w:val="24"/>
          <w:szCs w:val="24"/>
          <w:rtl/>
        </w:rPr>
        <w:t>, ביחס למועד בו פונתה ערימת החול האמורה</w:t>
      </w:r>
      <w:r w:rsidR="003A37D9">
        <w:rPr>
          <w:rFonts w:ascii="David" w:hAnsi="David" w:cs="David"/>
          <w:sz w:val="24"/>
          <w:szCs w:val="24"/>
          <w:rtl/>
        </w:rPr>
        <w:t>, אשר לפי גרסת מנהל התובעת לא א</w:t>
      </w:r>
      <w:r>
        <w:rPr>
          <w:rFonts w:ascii="David" w:hAnsi="David" w:cs="David"/>
          <w:sz w:val="24"/>
          <w:szCs w:val="24"/>
          <w:rtl/>
        </w:rPr>
        <w:t>פשרה את הבנייה במגרש.</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התובעת טוענת כי במגרש 14 היה קיים הר של חול אשר מנע שימוש ומסירה של המגרש, וכי היה על הנתבעות לפנותו. לטענת התובעת</w:t>
      </w:r>
      <w:r w:rsidR="00680129">
        <w:rPr>
          <w:rFonts w:hint="cs" w:ascii="David" w:hAnsi="David" w:cs="David"/>
          <w:sz w:val="24"/>
          <w:szCs w:val="24"/>
          <w:rtl/>
        </w:rPr>
        <w:t>,</w:t>
      </w:r>
      <w:r>
        <w:rPr>
          <w:rFonts w:ascii="David" w:hAnsi="David" w:cs="David"/>
          <w:sz w:val="24"/>
          <w:szCs w:val="24"/>
          <w:rtl/>
        </w:rPr>
        <w:t xml:space="preserve"> במפגש המסירה שנערך בחודש 12/2018 המגרש לא היה מוכן למסירה עקב החומר החפור הקיים במקום אשר טרם פונה על ידי הרשות.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lastRenderedPageBreak/>
        <w:t>התובעת טוענת כי הנתבעות לא הוכיחו מתי פונתה ערימת העפר, ולא גילו מסמכים רלוונטיים או העידו עדים רלוונטיים בנושא. נטען כי התמונות והמדידות שהוגשו מטעם הנתבעות אינן בעלות ערך ראייתי ואינן מוכיחות שהעפר פונה במלואו.</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בעדותו בבית המשפט הודה מנהל התובעת כי אינו זוכר מתי פונתה ערימת העפר בשלמותה. לגרסתו, היא פונתה לשיעורין ולא בשלמותה במשך זמן רב.</w:t>
      </w:r>
    </w:p>
    <w:p w:rsidR="00C812D4" w:rsidP="00680129"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מעדותו של מנהל התובעת עלה, למעשה, כי אינו יכול לסתור את גרסת החברה הכלכלית לפיה ערימת העפר אכן פונתה עוד בתחילת חודש ינואר 2019 (ראו: מעמ' 36, שורה 38 עד עמ' 37 שורה 7 לפרוטוקול </w:t>
      </w:r>
      <w:r w:rsidR="00680129">
        <w:rPr>
          <w:rFonts w:hint="cs" w:ascii="David" w:hAnsi="David" w:cs="David"/>
          <w:sz w:val="24"/>
          <w:szCs w:val="24"/>
          <w:rtl/>
        </w:rPr>
        <w:t>ה</w:t>
      </w:r>
      <w:r>
        <w:rPr>
          <w:rFonts w:ascii="David" w:hAnsi="David" w:cs="David"/>
          <w:sz w:val="24"/>
          <w:szCs w:val="24"/>
          <w:rtl/>
        </w:rPr>
        <w:t>דיון):</w:t>
      </w:r>
    </w:p>
    <w:p w:rsidR="00C812D4" w:rsidP="001F5C4A" w:rsidRDefault="00C812D4">
      <w:pPr>
        <w:pStyle w:val="ad"/>
        <w:spacing w:after="120" w:line="240" w:lineRule="auto"/>
        <w:ind w:left="1440" w:right="737" w:hanging="703"/>
        <w:contextualSpacing w:val="0"/>
        <w:jc w:val="both"/>
        <w:rPr>
          <w:rFonts w:ascii="David" w:hAnsi="David" w:cs="David"/>
          <w:sz w:val="24"/>
          <w:szCs w:val="24"/>
        </w:rPr>
      </w:pPr>
      <w:r>
        <w:rPr>
          <w:rFonts w:ascii="David" w:hAnsi="David" w:cs="David"/>
          <w:sz w:val="24"/>
          <w:szCs w:val="24"/>
          <w:rtl/>
        </w:rPr>
        <w:t xml:space="preserve">"ש.: </w:t>
      </w:r>
      <w:r>
        <w:rPr>
          <w:rFonts w:ascii="David" w:hAnsi="David" w:cs="David"/>
          <w:sz w:val="24"/>
          <w:szCs w:val="24"/>
          <w:rtl/>
        </w:rPr>
        <w:tab/>
        <w:t>אני אומר את הדבר הבא. ערימת העפר פונתה ב- 1/19, ואתם עשיתם ב- 1/19 מדידה בשטח שמראה שלא היה ערימת עפר בשטח, מסכים איתי?</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לא יודע, לא זוכר, לא יודע, לא יודע, אני לא, אני לא מודה, לא</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כב' השופט: </w:t>
      </w:r>
      <w:r>
        <w:rPr>
          <w:rFonts w:ascii="David" w:hAnsi="David" w:cs="David"/>
          <w:sz w:val="24"/>
          <w:szCs w:val="24"/>
          <w:rtl/>
        </w:rPr>
        <w:tab/>
        <w:t>אז אתה לא מכחיש</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ש.: </w:t>
      </w:r>
      <w:r>
        <w:rPr>
          <w:rFonts w:ascii="David" w:hAnsi="David" w:cs="David"/>
          <w:sz w:val="24"/>
          <w:szCs w:val="24"/>
          <w:rtl/>
        </w:rPr>
        <w:tab/>
        <w:t>לא מודה?</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כב' השופט: </w:t>
      </w:r>
      <w:r>
        <w:rPr>
          <w:rFonts w:ascii="David" w:hAnsi="David" w:cs="David"/>
          <w:sz w:val="24"/>
          <w:szCs w:val="24"/>
          <w:rtl/>
        </w:rPr>
        <w:tab/>
        <w:t>אז אתה לא מתנגד לזה</w:t>
      </w:r>
    </w:p>
    <w:p w:rsidR="00C812D4" w:rsidP="001F5C4A" w:rsidRDefault="00C812D4">
      <w:pPr>
        <w:pStyle w:val="ad"/>
        <w:spacing w:after="120" w:line="240" w:lineRule="auto"/>
        <w:ind w:left="1440" w:right="737" w:hanging="703"/>
        <w:contextualSpacing w:val="0"/>
        <w:jc w:val="both"/>
        <w:rPr>
          <w:rFonts w:ascii="David" w:hAnsi="David" w:cs="David"/>
          <w:sz w:val="24"/>
          <w:szCs w:val="24"/>
          <w:rtl/>
        </w:rPr>
      </w:pPr>
      <w:r>
        <w:rPr>
          <w:rFonts w:ascii="David" w:hAnsi="David" w:cs="David"/>
          <w:sz w:val="24"/>
          <w:szCs w:val="24"/>
          <w:rtl/>
        </w:rPr>
        <w:t xml:space="preserve">עו"ד שגב: </w:t>
      </w:r>
      <w:r>
        <w:rPr>
          <w:rFonts w:ascii="David" w:hAnsi="David" w:cs="David"/>
          <w:sz w:val="24"/>
          <w:szCs w:val="24"/>
          <w:rtl/>
        </w:rPr>
        <w:tab/>
        <w:t>למה? הוא אומר את זה, את זה לא, הוא אומר הוא לא זוכר, זה נקרא לא מתנגד? למה?</w:t>
      </w:r>
    </w:p>
    <w:p w:rsidR="00C812D4" w:rsidP="00771BEF" w:rsidRDefault="00C812D4">
      <w:pPr>
        <w:pStyle w:val="ad"/>
        <w:spacing w:after="240" w:line="240" w:lineRule="auto"/>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לא זוכר דבר כזה,"</w:t>
      </w:r>
    </w:p>
    <w:p w:rsidR="00C812D4" w:rsidP="00D7694F" w:rsidRDefault="00C812D4">
      <w:pPr>
        <w:pStyle w:val="ad"/>
        <w:numPr>
          <w:ilvl w:val="0"/>
          <w:numId w:val="1"/>
        </w:numPr>
        <w:spacing w:before="240"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מנהל התובעת אף הודה בעדותו בבית המשפט (עמ' 85, שורות 1-3 לפרוטוקול) כי אינו זוכר האם  בסמוך לאחר המפגש בשטח בחודש דצמבר </w:t>
      </w:r>
      <w:r w:rsidR="00D7694F">
        <w:rPr>
          <w:rFonts w:hint="cs" w:ascii="David" w:hAnsi="David" w:cs="David"/>
          <w:sz w:val="24"/>
          <w:szCs w:val="24"/>
          <w:rtl/>
        </w:rPr>
        <w:t>2018</w:t>
      </w:r>
      <w:r>
        <w:rPr>
          <w:rFonts w:ascii="David" w:hAnsi="David" w:cs="David"/>
          <w:sz w:val="24"/>
          <w:szCs w:val="24"/>
          <w:rtl/>
        </w:rPr>
        <w:t xml:space="preserve"> בו הובטח לו שהעפר יפונה, ביצע מעקב אחרי פינוי העפר.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כך גם נמנע מנהל התובעת להתמודד בחקירתו הנגדית עם הטענה שהוצגה בפניו, לפיה אם היה מעונ</w:t>
      </w:r>
      <w:r w:rsidR="00D7694F">
        <w:rPr>
          <w:rFonts w:hint="cs" w:ascii="David" w:hAnsi="David" w:cs="David"/>
          <w:sz w:val="24"/>
          <w:szCs w:val="24"/>
          <w:rtl/>
        </w:rPr>
        <w:t>י</w:t>
      </w:r>
      <w:r w:rsidR="00D7694F">
        <w:rPr>
          <w:rFonts w:ascii="David" w:hAnsi="David" w:cs="David"/>
          <w:sz w:val="24"/>
          <w:szCs w:val="24"/>
          <w:rtl/>
        </w:rPr>
        <w:t xml:space="preserve">ין לקבל את המגרש, </w:t>
      </w:r>
      <w:r>
        <w:rPr>
          <w:rFonts w:ascii="David" w:hAnsi="David" w:cs="David"/>
          <w:sz w:val="24"/>
          <w:szCs w:val="24"/>
          <w:rtl/>
        </w:rPr>
        <w:t>ודאי שהיה מעדכן מיוזמתו כי ערימת העפר פונתה ומבקש לקרוא לו למסירה (ראו עמ' 85 שורות 13-18):</w:t>
      </w:r>
    </w:p>
    <w:p w:rsidR="00C812D4" w:rsidP="003A37D9" w:rsidRDefault="00C812D4">
      <w:pPr>
        <w:pStyle w:val="ad"/>
        <w:spacing w:after="120" w:line="240" w:lineRule="exact"/>
        <w:ind w:left="737" w:right="737"/>
        <w:contextualSpacing w:val="0"/>
        <w:jc w:val="both"/>
        <w:rPr>
          <w:rFonts w:ascii="David" w:hAnsi="David" w:cs="David"/>
          <w:sz w:val="24"/>
          <w:szCs w:val="24"/>
        </w:rPr>
      </w:pPr>
      <w:r>
        <w:rPr>
          <w:rFonts w:ascii="David" w:hAnsi="David" w:cs="David"/>
          <w:sz w:val="24"/>
          <w:szCs w:val="24"/>
          <w:rtl/>
        </w:rPr>
        <w:t>"יופי, זו הגרסה שלך, אנחנו יודעים אותה, אבל מי שרוצה לקבל את המגרש ורוצה, כי הוא צריך אותו או מכול סיבה אחרת, כמו שאמרת שאתה רוצה, אז אמור לעשות, לעשות מעקב מה קורה בשטח, כי אם למשל פינו את תל העפר ושכחו לקרוא לכם, אז אתם יכולים לבוא להגיד, תשמע עברתי שם היום עם האוטו, אני רואה שאין שם כלום, למה אתה לא קורא לי? את זה עשיתם? מישהו עבר לבדוק?</w:t>
      </w:r>
    </w:p>
    <w:p w:rsidR="00C812D4" w:rsidP="00742746" w:rsidRDefault="00C812D4">
      <w:pPr>
        <w:pStyle w:val="ad"/>
        <w:spacing w:after="240" w:line="240" w:lineRule="exact"/>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אני לא זוכר".</w:t>
      </w:r>
    </w:p>
    <w:p w:rsidR="00C812D4" w:rsidP="00751AF8" w:rsidRDefault="00C812D4">
      <w:pPr>
        <w:pStyle w:val="ad"/>
        <w:numPr>
          <w:ilvl w:val="0"/>
          <w:numId w:val="1"/>
        </w:numPr>
        <w:spacing w:before="240"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התשובות שניתנו על ידי מנהל התובעת בחקירתו הנגדית לעניין מועד פינוי ערימת העפר לימדו, כי לא ניתן להסתמך על גרסתו בעניין זה (ראו: עמ' 87 שורה 38 עד עמ' 88 שורה 1):</w:t>
      </w:r>
    </w:p>
    <w:p w:rsidR="00C812D4" w:rsidP="003A37D9" w:rsidRDefault="00C812D4">
      <w:pPr>
        <w:pStyle w:val="ad"/>
        <w:spacing w:after="120" w:line="240" w:lineRule="auto"/>
        <w:ind w:left="737" w:right="737"/>
        <w:contextualSpacing w:val="0"/>
        <w:jc w:val="both"/>
        <w:rPr>
          <w:rFonts w:ascii="David" w:hAnsi="David" w:cs="David"/>
          <w:sz w:val="24"/>
          <w:szCs w:val="24"/>
        </w:rPr>
      </w:pPr>
      <w:r>
        <w:rPr>
          <w:rFonts w:ascii="David" w:hAnsi="David" w:cs="David"/>
          <w:sz w:val="24"/>
          <w:szCs w:val="24"/>
          <w:rtl/>
        </w:rPr>
        <w:lastRenderedPageBreak/>
        <w:t>"אני אומר את הדבר הבא. ערימת העפר פונתה ב- 1/19, ואתם עשיתם ב- 1/19 מדידה בשטח שמראה שלא היה ערימת עפר בשטח, מסכים איתי?</w:t>
      </w:r>
    </w:p>
    <w:p w:rsidR="00C812D4" w:rsidP="00742746" w:rsidRDefault="00C812D4">
      <w:pPr>
        <w:pStyle w:val="ad"/>
        <w:spacing w:after="240" w:line="240" w:lineRule="auto"/>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לא יודע, לא זוכר, לא יודע, לא יודע, אני לא, אני לא מודה, לא".</w:t>
      </w:r>
    </w:p>
    <w:p w:rsidR="00C812D4" w:rsidP="00751AF8" w:rsidRDefault="00C812D4">
      <w:pPr>
        <w:pStyle w:val="ad"/>
        <w:numPr>
          <w:ilvl w:val="0"/>
          <w:numId w:val="1"/>
        </w:numPr>
        <w:spacing w:before="240"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הנתבעות טוענות כי העפר במגרש 14 היה קרקע טבעית וכי ערימת העפר פונתה סופית במהלך חודש ינואר 2019. </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להוכחת טענות הנתבעות הוגשו לתיק בית המשפט אסמכתאות שונות ובכלל ז</w:t>
      </w:r>
      <w:r w:rsidR="00D7694F">
        <w:rPr>
          <w:rFonts w:hint="cs" w:ascii="David" w:hAnsi="David" w:cs="David"/>
          <w:sz w:val="24"/>
          <w:szCs w:val="24"/>
          <w:rtl/>
        </w:rPr>
        <w:t>ה</w:t>
      </w:r>
      <w:r>
        <w:rPr>
          <w:rFonts w:ascii="David" w:hAnsi="David" w:cs="David"/>
          <w:sz w:val="24"/>
          <w:szCs w:val="24"/>
          <w:rtl/>
        </w:rPr>
        <w:t xml:space="preserve"> תמונות וכן מדידה מיום 14.2.2019, המעידות כי במועד זה ערימת העפר כבר לא הייתה בשטח.</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מר חליס הצהיר כי בחודש ינואר 2019 פונתה ערימת העפר, וכי מדידה מיום 24.1.2019 שנעשתה על ידי מודד מטעם התובעת מלמדת אף היא כי העפר כבר לא היה בשטח. הוא העיד כי ערימת העפר הייתה בתהליך פינוי בסוף דצמבר 2018 והסתיימה בתחילת ינואר.</w:t>
      </w:r>
    </w:p>
    <w:p w:rsidR="00C812D4" w:rsidP="004A428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בדיווח שמסר איציק חליס </w:t>
      </w:r>
      <w:r w:rsidR="00680129">
        <w:rPr>
          <w:rFonts w:ascii="David" w:hAnsi="David" w:cs="David"/>
          <w:sz w:val="24"/>
          <w:szCs w:val="24"/>
          <w:rtl/>
        </w:rPr>
        <w:t>לממונה עליו</w:t>
      </w:r>
      <w:r w:rsidR="00680129">
        <w:rPr>
          <w:rFonts w:hint="cs" w:ascii="David" w:hAnsi="David" w:cs="David"/>
          <w:sz w:val="24"/>
          <w:szCs w:val="24"/>
          <w:rtl/>
        </w:rPr>
        <w:t xml:space="preserve">, </w:t>
      </w:r>
      <w:r>
        <w:rPr>
          <w:rFonts w:ascii="David" w:hAnsi="David" w:cs="David"/>
          <w:sz w:val="24"/>
          <w:szCs w:val="24"/>
          <w:rtl/>
        </w:rPr>
        <w:t>בסמוך לא</w:t>
      </w:r>
      <w:r w:rsidR="00680129">
        <w:rPr>
          <w:rFonts w:hint="cs" w:ascii="David" w:hAnsi="David" w:cs="David"/>
          <w:sz w:val="24"/>
          <w:szCs w:val="24"/>
          <w:rtl/>
        </w:rPr>
        <w:t>ח</w:t>
      </w:r>
      <w:r w:rsidR="00680129">
        <w:rPr>
          <w:rFonts w:ascii="David" w:hAnsi="David" w:cs="David"/>
          <w:sz w:val="24"/>
          <w:szCs w:val="24"/>
          <w:rtl/>
        </w:rPr>
        <w:t>ר המפגש בשטח ביום 20.12.</w:t>
      </w:r>
      <w:r w:rsidR="004A4288">
        <w:rPr>
          <w:rFonts w:hint="cs" w:ascii="David" w:hAnsi="David" w:cs="David"/>
          <w:sz w:val="24"/>
          <w:szCs w:val="24"/>
          <w:rtl/>
        </w:rPr>
        <w:t>2018</w:t>
      </w:r>
      <w:r w:rsidR="00680129">
        <w:rPr>
          <w:rFonts w:hint="cs" w:ascii="David" w:hAnsi="David" w:cs="David"/>
          <w:sz w:val="24"/>
          <w:szCs w:val="24"/>
          <w:rtl/>
        </w:rPr>
        <w:t xml:space="preserve">, </w:t>
      </w:r>
      <w:r>
        <w:rPr>
          <w:rFonts w:ascii="David" w:hAnsi="David" w:cs="David"/>
          <w:sz w:val="24"/>
          <w:szCs w:val="24"/>
          <w:rtl/>
        </w:rPr>
        <w:t>נמסר כי "מצורפות תמונות למי</w:t>
      </w:r>
      <w:r w:rsidR="00680129">
        <w:rPr>
          <w:rFonts w:hint="cs" w:ascii="David" w:hAnsi="David" w:cs="David"/>
          <w:sz w:val="24"/>
          <w:szCs w:val="24"/>
          <w:rtl/>
        </w:rPr>
        <w:t>י</w:t>
      </w:r>
      <w:r>
        <w:rPr>
          <w:rFonts w:ascii="David" w:hAnsi="David" w:cs="David"/>
          <w:sz w:val="24"/>
          <w:szCs w:val="24"/>
          <w:rtl/>
        </w:rPr>
        <w:t xml:space="preserve">ל זה הממחישות ומראות את הנכונות למסור את המגרש ואת כך שהחומר כרגע מועבר אל שטח אחר ועתיד להסתיים </w:t>
      </w:r>
      <w:r w:rsidRPr="00742746">
        <w:rPr>
          <w:rFonts w:ascii="David" w:hAnsi="David" w:cs="David"/>
          <w:sz w:val="24"/>
          <w:szCs w:val="24"/>
          <w:rtl/>
        </w:rPr>
        <w:t>בעוד כ</w:t>
      </w:r>
      <w:r>
        <w:rPr>
          <w:rFonts w:ascii="David" w:hAnsi="David" w:cs="David"/>
          <w:sz w:val="24"/>
          <w:szCs w:val="24"/>
          <w:rtl/>
        </w:rPr>
        <w:t>שבוע".</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מר חליס העיד כי העפר פונה לפרויקט אחר סמוך בשכונת הרצוג. הוא הבהיר כי התובעת לא יכלה להשתמש בעפר זה כרצונה, וכי ניתנה הנחיה לקבלן הפינוי לפנות אותו לפרויקט אחר של החברה הכלכלית. מר חליס עמד על כך שערימת העפר פונתה תוך מספר ימים, ובינואר 2019 התובעת עלתה על המגרש והחלה לבצע קידוחים. </w:t>
      </w:r>
    </w:p>
    <w:p w:rsidRPr="009816FB" w:rsidR="009816FB" w:rsidP="004A4288" w:rsidRDefault="009816FB">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hint="cs" w:ascii="David" w:hAnsi="David" w:cs="David"/>
          <w:sz w:val="24"/>
          <w:szCs w:val="24"/>
          <w:rtl/>
        </w:rPr>
        <w:t>לטענת התובעת (</w:t>
      </w:r>
      <w:r w:rsidR="00F537DF">
        <w:rPr>
          <w:rFonts w:hint="cs" w:ascii="David" w:hAnsi="David" w:cs="David"/>
          <w:sz w:val="24"/>
          <w:szCs w:val="24"/>
          <w:rtl/>
        </w:rPr>
        <w:t>ב</w:t>
      </w:r>
      <w:r>
        <w:rPr>
          <w:rFonts w:hint="cs" w:ascii="David" w:hAnsi="David" w:cs="David"/>
          <w:sz w:val="24"/>
          <w:szCs w:val="24"/>
          <w:rtl/>
        </w:rPr>
        <w:t>סעיף 211 לסיכומי התובעת</w:t>
      </w:r>
      <w:r w:rsidR="00F537DF">
        <w:rPr>
          <w:rFonts w:hint="cs" w:ascii="David" w:hAnsi="David" w:cs="David"/>
          <w:sz w:val="24"/>
          <w:szCs w:val="24"/>
          <w:rtl/>
        </w:rPr>
        <w:t xml:space="preserve"> ובסעיפים 135-141 לסיכומי התשובה</w:t>
      </w:r>
      <w:r>
        <w:rPr>
          <w:rFonts w:hint="cs" w:ascii="David" w:hAnsi="David" w:cs="David"/>
          <w:sz w:val="24"/>
          <w:szCs w:val="24"/>
          <w:rtl/>
        </w:rPr>
        <w:t xml:space="preserve">) ממסמך פנימי של חברת הפיקוח מיום 27.1.2019 (מוצג 29 למוצגי התובעת) עולה כי באותו מועד "טרם הסתיים הפינוי בשלמותו". אלא שטענה זו אינה נכונה, שכן מדובר במסמך הכולל עדכונים שוטפים ממועדים מוקדמים לתאריך 27.1.2019 והעדכון האמור הוא ממועד מוקדם יותר (עמ' 77, שורות 2-6 לפרוטוקול מיום </w:t>
      </w:r>
      <w:r w:rsidR="0002296F">
        <w:rPr>
          <w:rFonts w:hint="cs" w:ascii="David" w:hAnsi="David" w:cs="David"/>
          <w:sz w:val="24"/>
          <w:szCs w:val="24"/>
          <w:rtl/>
        </w:rPr>
        <w:t>13.11.2025)</w:t>
      </w:r>
      <w:r>
        <w:rPr>
          <w:rFonts w:hint="cs" w:ascii="David" w:hAnsi="David" w:cs="David"/>
          <w:sz w:val="24"/>
          <w:szCs w:val="24"/>
          <w:rtl/>
        </w:rPr>
        <w:t>.</w:t>
      </w:r>
    </w:p>
    <w:p w:rsidR="00C812D4" w:rsidP="008E08BE"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הנה כי כן, בזמן אמת, לא הייתה כל משמעות לעובדה שלא נעשתה מסירה </w:t>
      </w:r>
      <w:r w:rsidR="009B404C">
        <w:rPr>
          <w:rFonts w:ascii="David" w:hAnsi="David" w:cs="David"/>
          <w:sz w:val="24"/>
          <w:szCs w:val="24"/>
          <w:rtl/>
        </w:rPr>
        <w:t>פורמלי</w:t>
      </w:r>
      <w:r>
        <w:rPr>
          <w:rFonts w:ascii="David" w:hAnsi="David" w:cs="David"/>
          <w:sz w:val="24"/>
          <w:szCs w:val="24"/>
          <w:rtl/>
        </w:rPr>
        <w:t>ת, שכן נעשתה מסירה דה-פקטו, והתובעת קיבלה בפועל את המגרש, לאחר שזומנה למסירה, במסגרתה נכחו נציגי התובעת שהיו שותפים לסימון המגרש ואף קיבלו את קבצי המדידה והסימון. ביצוע המסירה הושלם ש</w:t>
      </w:r>
      <w:r w:rsidR="008E08BE">
        <w:rPr>
          <w:rFonts w:ascii="David" w:hAnsi="David" w:cs="David"/>
          <w:sz w:val="24"/>
          <w:szCs w:val="24"/>
          <w:rtl/>
        </w:rPr>
        <w:t>עה שגם ערימת העפר הועברה ממקומה</w:t>
      </w:r>
      <w:r w:rsidR="008E08BE">
        <w:rPr>
          <w:rFonts w:hint="cs" w:ascii="David" w:hAnsi="David" w:cs="David"/>
          <w:sz w:val="24"/>
          <w:szCs w:val="24"/>
          <w:rtl/>
        </w:rPr>
        <w:t>. התובעת ידעה על כך</w:t>
      </w:r>
      <w:r w:rsidR="0007425B">
        <w:rPr>
          <w:rFonts w:hint="cs" w:ascii="David" w:hAnsi="David" w:cs="David"/>
          <w:sz w:val="24"/>
          <w:szCs w:val="24"/>
          <w:rtl/>
        </w:rPr>
        <w:t>,</w:t>
      </w:r>
      <w:r w:rsidR="008E08BE">
        <w:rPr>
          <w:rFonts w:hint="cs" w:ascii="David" w:hAnsi="David" w:cs="David"/>
          <w:sz w:val="24"/>
          <w:szCs w:val="24"/>
          <w:rtl/>
        </w:rPr>
        <w:t xml:space="preserve"> שכן כבר החזיקה במגרש הסמוך ואנשיה היו במקום.</w:t>
      </w:r>
    </w:p>
    <w:p w:rsidR="00030FAF" w:rsidP="00030FAF" w:rsidRDefault="00030FAF">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hint="cs" w:ascii="David" w:hAnsi="David" w:cs="David"/>
          <w:sz w:val="24"/>
          <w:szCs w:val="24"/>
          <w:rtl/>
        </w:rPr>
        <w:t>מהראיות עולה לפיכך בבירור, כי בחודש ינואר 2019 המגרש כבר עמד לרשות התובעת וכי היה מוכן לצורך בנייה.</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lastRenderedPageBreak/>
        <w:t>אין הכרח בחתימה על פרוטוקול מסירה</w:t>
      </w:r>
    </w:p>
    <w:p w:rsidR="00C812D4" w:rsidP="004A428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יש לדחות טענת התובעת לפיה בהעדר חתימתה על פרוטוקול מסירה, </w:t>
      </w:r>
      <w:r w:rsidR="004A4288">
        <w:rPr>
          <w:rFonts w:hint="cs" w:ascii="David" w:hAnsi="David" w:cs="David"/>
          <w:sz w:val="24"/>
          <w:szCs w:val="24"/>
          <w:rtl/>
        </w:rPr>
        <w:t>הרי ש</w:t>
      </w:r>
      <w:r>
        <w:rPr>
          <w:rFonts w:ascii="David" w:hAnsi="David" w:cs="David"/>
          <w:sz w:val="24"/>
          <w:szCs w:val="24"/>
          <w:rtl/>
        </w:rPr>
        <w:t xml:space="preserve">לא </w:t>
      </w:r>
      <w:r w:rsidR="004A4288">
        <w:rPr>
          <w:rFonts w:hint="cs" w:ascii="David" w:hAnsi="David" w:cs="David"/>
          <w:sz w:val="24"/>
          <w:szCs w:val="24"/>
          <w:rtl/>
        </w:rPr>
        <w:t>ה</w:t>
      </w:r>
      <w:r>
        <w:rPr>
          <w:rFonts w:ascii="David" w:hAnsi="David" w:cs="David"/>
          <w:sz w:val="24"/>
          <w:szCs w:val="24"/>
          <w:rtl/>
        </w:rPr>
        <w:t>תקיימ</w:t>
      </w:r>
      <w:r w:rsidR="004A4288">
        <w:rPr>
          <w:rFonts w:hint="cs" w:ascii="David" w:hAnsi="David" w:cs="David"/>
          <w:sz w:val="24"/>
          <w:szCs w:val="24"/>
          <w:rtl/>
        </w:rPr>
        <w:t>ה</w:t>
      </w:r>
      <w:r>
        <w:rPr>
          <w:rFonts w:ascii="David" w:hAnsi="David" w:cs="David"/>
          <w:sz w:val="24"/>
          <w:szCs w:val="24"/>
          <w:rtl/>
        </w:rPr>
        <w:t xml:space="preserve"> מסירה של החזקה במג</w:t>
      </w:r>
      <w:r w:rsidR="00932A9D">
        <w:rPr>
          <w:rFonts w:ascii="David" w:hAnsi="David" w:cs="David"/>
          <w:sz w:val="24"/>
          <w:szCs w:val="24"/>
          <w:rtl/>
        </w:rPr>
        <w:t xml:space="preserve">רש לידיה. מטרת החתימה היא לשמש </w:t>
      </w:r>
      <w:r>
        <w:rPr>
          <w:rFonts w:ascii="David" w:hAnsi="David" w:cs="David"/>
          <w:sz w:val="24"/>
          <w:szCs w:val="24"/>
          <w:rtl/>
        </w:rPr>
        <w:t>כ</w:t>
      </w:r>
      <w:r w:rsidR="00D7694F">
        <w:rPr>
          <w:rFonts w:hint="cs" w:ascii="David" w:hAnsi="David" w:cs="David"/>
          <w:sz w:val="24"/>
          <w:szCs w:val="24"/>
          <w:rtl/>
        </w:rPr>
        <w:t>כ</w:t>
      </w:r>
      <w:r>
        <w:rPr>
          <w:rFonts w:ascii="David" w:hAnsi="David" w:cs="David"/>
          <w:sz w:val="24"/>
          <w:szCs w:val="24"/>
          <w:rtl/>
        </w:rPr>
        <w:t>לי ראייתי על מ</w:t>
      </w:r>
      <w:r w:rsidR="00932A9D">
        <w:rPr>
          <w:rFonts w:hint="cs" w:ascii="David" w:hAnsi="David" w:cs="David"/>
          <w:sz w:val="24"/>
          <w:szCs w:val="24"/>
          <w:rtl/>
        </w:rPr>
        <w:t>נ</w:t>
      </w:r>
      <w:r>
        <w:rPr>
          <w:rFonts w:ascii="David" w:hAnsi="David" w:cs="David"/>
          <w:sz w:val="24"/>
          <w:szCs w:val="24"/>
          <w:rtl/>
        </w:rPr>
        <w:t xml:space="preserve">ת לוודא קבלת המגרש אצל היזם לצורך תחילת הבנייה, אולם אין מדובר בתנאי שבלעדיו לא </w:t>
      </w:r>
      <w:r w:rsidR="004A4288">
        <w:rPr>
          <w:rFonts w:hint="cs" w:ascii="David" w:hAnsi="David" w:cs="David"/>
          <w:sz w:val="24"/>
          <w:szCs w:val="24"/>
          <w:rtl/>
        </w:rPr>
        <w:t>תתאפשר העברת</w:t>
      </w:r>
      <w:r>
        <w:rPr>
          <w:rFonts w:ascii="David" w:hAnsi="David" w:cs="David"/>
          <w:sz w:val="24"/>
          <w:szCs w:val="24"/>
          <w:rtl/>
        </w:rPr>
        <w:t xml:space="preserve"> החזקה במגרש.</w:t>
      </w:r>
      <w:r>
        <w:rPr>
          <w:rFonts w:ascii="David" w:hAnsi="David" w:cs="David"/>
          <w:sz w:val="24"/>
          <w:szCs w:val="24"/>
          <w:u w:val="single"/>
          <w:rtl/>
        </w:rPr>
        <w:t xml:space="preserve">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כעובדה, התובעת כן קיבלה את המגרש לחזקתה, אף מבלי לחתום על פרוטוקול מסירה, והשאלה היא מתי למעשה קיבלה התובעת את החזקה בפועל במגרש. </w:t>
      </w:r>
    </w:p>
    <w:p w:rsidR="00C812D4" w:rsidP="00751AF8" w:rsidRDefault="00932A9D">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כמפורט לעיל, </w:t>
      </w:r>
      <w:r w:rsidR="00C812D4">
        <w:rPr>
          <w:rFonts w:ascii="David" w:hAnsi="David" w:cs="David"/>
          <w:sz w:val="24"/>
          <w:szCs w:val="24"/>
          <w:rtl/>
        </w:rPr>
        <w:t>הוראות ההסכמים קובעות כי ניתן לראות ביזם כמי שקיבל המגרש לידיו גם אם סרב לחתום וגם בהעדר חתימתו על פרוטוקול המסירה.</w:t>
      </w:r>
    </w:p>
    <w:p w:rsidR="00C812D4" w:rsidP="004A428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מטעם זה גם אין לייחס חשיבות ראייתית כבדת משקל, כפי שמבקשת התובעת לייחס, להודעת חברת הפיקוח לתובעת לפיה "תזומנו למסירה מסודרת בהקדם</w:t>
      </w:r>
      <w:r>
        <w:rPr>
          <w:rFonts w:ascii="David" w:hAnsi="David" w:cs="David"/>
          <w:sz w:val="24"/>
          <w:szCs w:val="24"/>
        </w:rPr>
        <w:t>".</w:t>
      </w:r>
      <w:r>
        <w:rPr>
          <w:rFonts w:ascii="David" w:hAnsi="David" w:cs="David"/>
          <w:sz w:val="24"/>
          <w:szCs w:val="24"/>
          <w:rtl/>
        </w:rPr>
        <w:t xml:space="preserve"> מובן, כי מוטב היה אם היה מתקיים מפגש מסירה נוסף בשטח, אולם בהתחשב בכך שכבר נערך מפגש מסירה בנוכחות כלל הגורמים ה</w:t>
      </w:r>
      <w:r w:rsidR="009B404C">
        <w:rPr>
          <w:rFonts w:ascii="David" w:hAnsi="David" w:cs="David"/>
          <w:sz w:val="24"/>
          <w:szCs w:val="24"/>
          <w:rtl/>
        </w:rPr>
        <w:t>רלוונטי</w:t>
      </w:r>
      <w:r>
        <w:rPr>
          <w:rFonts w:ascii="David" w:hAnsi="David" w:cs="David"/>
          <w:sz w:val="24"/>
          <w:szCs w:val="24"/>
          <w:rtl/>
        </w:rPr>
        <w:t>ים בחודש 12/</w:t>
      </w:r>
      <w:r w:rsidR="004A4288">
        <w:rPr>
          <w:rFonts w:hint="cs" w:ascii="David" w:hAnsi="David" w:cs="David"/>
          <w:sz w:val="24"/>
          <w:szCs w:val="24"/>
          <w:rtl/>
        </w:rPr>
        <w:t>2018</w:t>
      </w:r>
      <w:r>
        <w:rPr>
          <w:rFonts w:ascii="David" w:hAnsi="David" w:cs="David"/>
          <w:sz w:val="24"/>
          <w:szCs w:val="24"/>
          <w:rtl/>
        </w:rPr>
        <w:t>, ובמסגרתו כבר הועברו לידי התובעת קבצי מדידה ו</w:t>
      </w:r>
      <w:r w:rsidR="00932A9D">
        <w:rPr>
          <w:rFonts w:hint="cs" w:ascii="David" w:hAnsi="David" w:cs="David"/>
          <w:sz w:val="24"/>
          <w:szCs w:val="24"/>
          <w:rtl/>
        </w:rPr>
        <w:t>ס</w:t>
      </w:r>
      <w:r>
        <w:rPr>
          <w:rFonts w:ascii="David" w:hAnsi="David" w:cs="David"/>
          <w:sz w:val="24"/>
          <w:szCs w:val="24"/>
          <w:rtl/>
        </w:rPr>
        <w:t>ימון</w:t>
      </w:r>
      <w:r w:rsidR="00932A9D">
        <w:rPr>
          <w:rFonts w:hint="cs" w:ascii="David" w:hAnsi="David" w:cs="David"/>
          <w:sz w:val="24"/>
          <w:szCs w:val="24"/>
          <w:rtl/>
        </w:rPr>
        <w:t>,</w:t>
      </w:r>
      <w:r>
        <w:rPr>
          <w:rFonts w:ascii="David" w:hAnsi="David" w:cs="David"/>
          <w:sz w:val="24"/>
          <w:szCs w:val="24"/>
          <w:rtl/>
        </w:rPr>
        <w:t xml:space="preserve"> </w:t>
      </w:r>
      <w:r w:rsidR="004A4288">
        <w:rPr>
          <w:rFonts w:hint="cs" w:ascii="David" w:hAnsi="David" w:cs="David"/>
          <w:sz w:val="24"/>
          <w:szCs w:val="24"/>
          <w:rtl/>
        </w:rPr>
        <w:t>לאחר</w:t>
      </w:r>
      <w:r>
        <w:rPr>
          <w:rFonts w:ascii="David" w:hAnsi="David" w:cs="David"/>
          <w:sz w:val="24"/>
          <w:szCs w:val="24"/>
          <w:rtl/>
        </w:rPr>
        <w:t xml:space="preserve"> שנציגי ה</w:t>
      </w:r>
      <w:r w:rsidR="00932A9D">
        <w:rPr>
          <w:rFonts w:hint="cs" w:ascii="David" w:hAnsi="David" w:cs="David"/>
          <w:sz w:val="24"/>
          <w:szCs w:val="24"/>
          <w:rtl/>
        </w:rPr>
        <w:t>צ</w:t>
      </w:r>
      <w:r>
        <w:rPr>
          <w:rFonts w:ascii="David" w:hAnsi="David" w:cs="David"/>
          <w:sz w:val="24"/>
          <w:szCs w:val="24"/>
          <w:rtl/>
        </w:rPr>
        <w:t>דדים סימנו במשותף את גבולות המגרש, אזי לא היה הכרח במפגש מסירה נוסף שעה שערימת העפר פונתה מהמקום.</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לתובעת היתה חזקה בפועל בשטח</w:t>
      </w:r>
    </w:p>
    <w:p w:rsidR="00C812D4" w:rsidP="00D7694F" w:rsidRDefault="002D74FD">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כמפורט לעיל, </w:t>
      </w:r>
      <w:r w:rsidR="00784393">
        <w:rPr>
          <w:rFonts w:hint="cs" w:ascii="David" w:hAnsi="David" w:cs="David"/>
          <w:sz w:val="24"/>
          <w:szCs w:val="24"/>
          <w:rtl/>
        </w:rPr>
        <w:t xml:space="preserve">בחודש ינואר 2019 </w:t>
      </w:r>
      <w:r>
        <w:rPr>
          <w:rFonts w:hint="cs" w:ascii="David" w:hAnsi="David" w:cs="David"/>
          <w:sz w:val="24"/>
          <w:szCs w:val="24"/>
          <w:rtl/>
        </w:rPr>
        <w:t xml:space="preserve">התובעת ביצעה </w:t>
      </w:r>
      <w:r w:rsidR="00C812D4">
        <w:rPr>
          <w:rFonts w:ascii="David" w:hAnsi="David" w:cs="David"/>
          <w:sz w:val="24"/>
          <w:szCs w:val="24"/>
          <w:rtl/>
        </w:rPr>
        <w:t xml:space="preserve">קידוחי ניסיון </w:t>
      </w:r>
      <w:r>
        <w:rPr>
          <w:rFonts w:hint="cs" w:ascii="David" w:hAnsi="David" w:cs="David"/>
          <w:sz w:val="24"/>
          <w:szCs w:val="24"/>
          <w:rtl/>
        </w:rPr>
        <w:t xml:space="preserve">וכן </w:t>
      </w:r>
      <w:r w:rsidR="00C812D4">
        <w:rPr>
          <w:rFonts w:ascii="David" w:hAnsi="David" w:cs="David"/>
          <w:sz w:val="24"/>
          <w:szCs w:val="24"/>
          <w:rtl/>
        </w:rPr>
        <w:t>גידור המגרש</w:t>
      </w:r>
      <w:r>
        <w:rPr>
          <w:rFonts w:hint="cs" w:ascii="David" w:hAnsi="David" w:cs="David"/>
          <w:sz w:val="24"/>
          <w:szCs w:val="24"/>
          <w:rtl/>
        </w:rPr>
        <w:t xml:space="preserve">. פעולות אלו של התובעת אכן אינן מהוות אקט של מסירה ואינן יכולות לעמוד בפני עצמן כראיה למסירת החזקה, אולם הן מהוות חלק מהמכלול, אשר יש בו </w:t>
      </w:r>
      <w:r w:rsidR="00D76E54">
        <w:rPr>
          <w:rFonts w:hint="cs" w:ascii="David" w:hAnsi="David" w:cs="David"/>
          <w:sz w:val="24"/>
          <w:szCs w:val="24"/>
          <w:rtl/>
        </w:rPr>
        <w:t xml:space="preserve">כדי </w:t>
      </w:r>
      <w:r>
        <w:rPr>
          <w:rFonts w:hint="cs" w:ascii="David" w:hAnsi="David" w:cs="David"/>
          <w:sz w:val="24"/>
          <w:szCs w:val="24"/>
          <w:rtl/>
        </w:rPr>
        <w:t xml:space="preserve">ללמד כי בפועל </w:t>
      </w:r>
      <w:r w:rsidR="00C812D4">
        <w:rPr>
          <w:rFonts w:ascii="David" w:hAnsi="David" w:cs="David"/>
          <w:sz w:val="24"/>
          <w:szCs w:val="24"/>
          <w:rtl/>
        </w:rPr>
        <w:t xml:space="preserve">המגרש </w:t>
      </w:r>
      <w:r>
        <w:rPr>
          <w:rFonts w:hint="cs" w:ascii="David" w:hAnsi="David" w:cs="David"/>
          <w:sz w:val="24"/>
          <w:szCs w:val="24"/>
          <w:rtl/>
        </w:rPr>
        <w:t xml:space="preserve">כבר </w:t>
      </w:r>
      <w:r w:rsidR="00C812D4">
        <w:rPr>
          <w:rFonts w:ascii="David" w:hAnsi="David" w:cs="David"/>
          <w:sz w:val="24"/>
          <w:szCs w:val="24"/>
          <w:rtl/>
        </w:rPr>
        <w:t xml:space="preserve">היה מצוי בחזקתה של התובעת והיא זו שפעלה </w:t>
      </w:r>
      <w:r w:rsidR="00626058">
        <w:rPr>
          <w:rFonts w:hint="cs" w:ascii="David" w:hAnsi="David" w:cs="David"/>
          <w:sz w:val="24"/>
          <w:szCs w:val="24"/>
          <w:rtl/>
        </w:rPr>
        <w:t>ב</w:t>
      </w:r>
      <w:r w:rsidR="00C812D4">
        <w:rPr>
          <w:rFonts w:ascii="David" w:hAnsi="David" w:cs="David"/>
          <w:sz w:val="24"/>
          <w:szCs w:val="24"/>
          <w:rtl/>
        </w:rPr>
        <w:t>ו כרצונה.</w:t>
      </w:r>
      <w:r>
        <w:rPr>
          <w:rFonts w:hint="cs" w:ascii="David" w:hAnsi="David" w:cs="David"/>
          <w:sz w:val="24"/>
          <w:szCs w:val="24"/>
          <w:rtl/>
        </w:rPr>
        <w:t xml:space="preserve"> וכפי שציין מר חליס בעדותו, את הבנתו כי "</w:t>
      </w:r>
      <w:r w:rsidRPr="002D74FD">
        <w:rPr>
          <w:rFonts w:ascii="David" w:hAnsi="David" w:cs="David"/>
          <w:sz w:val="24"/>
          <w:szCs w:val="24"/>
          <w:rtl/>
        </w:rPr>
        <w:t>ברגע שהיזם נכנס ועשה קידוחי ניסיון ולא תיאם, אני רואה אותו כבעל הבית במגרש</w:t>
      </w:r>
      <w:r>
        <w:rPr>
          <w:rFonts w:hint="cs" w:ascii="David" w:hAnsi="David" w:cs="David"/>
          <w:sz w:val="24"/>
          <w:szCs w:val="24"/>
          <w:rtl/>
        </w:rPr>
        <w:t>" (פרוטוקול מיום 13.11.2025, עמ' 49, שורה 30).</w:t>
      </w:r>
    </w:p>
    <w:p w:rsidR="00C812D4" w:rsidP="00784393" w:rsidRDefault="00A92308">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כך, </w:t>
      </w:r>
      <w:r w:rsidR="00C812D4">
        <w:rPr>
          <w:rFonts w:ascii="David" w:hAnsi="David" w:cs="David"/>
          <w:sz w:val="24"/>
          <w:szCs w:val="24"/>
          <w:rtl/>
        </w:rPr>
        <w:t xml:space="preserve">ביום 11.2.2019 ביצעה התובעת במגרש בדיקות קרקע. יתכן ומבחינה משפטית התובעת היתה רשאית לבצע </w:t>
      </w:r>
      <w:r>
        <w:rPr>
          <w:rFonts w:hint="cs" w:ascii="David" w:hAnsi="David" w:cs="David"/>
          <w:sz w:val="24"/>
          <w:szCs w:val="24"/>
          <w:rtl/>
        </w:rPr>
        <w:t xml:space="preserve">קידוחי ניסיון וכך גם </w:t>
      </w:r>
      <w:r w:rsidR="00C812D4">
        <w:rPr>
          <w:rFonts w:ascii="David" w:hAnsi="David" w:cs="David"/>
          <w:sz w:val="24"/>
          <w:szCs w:val="24"/>
          <w:rtl/>
        </w:rPr>
        <w:t xml:space="preserve">בדיקות קרקע </w:t>
      </w:r>
      <w:r>
        <w:rPr>
          <w:rFonts w:hint="cs" w:ascii="David" w:hAnsi="David" w:cs="David"/>
          <w:sz w:val="24"/>
          <w:szCs w:val="24"/>
          <w:rtl/>
        </w:rPr>
        <w:t>עוד</w:t>
      </w:r>
      <w:r w:rsidR="00C812D4">
        <w:rPr>
          <w:rFonts w:ascii="David" w:hAnsi="David" w:cs="David"/>
          <w:sz w:val="24"/>
          <w:szCs w:val="24"/>
          <w:rtl/>
        </w:rPr>
        <w:t xml:space="preserve"> קודם לקבלת המגרש לחזקתה, אולם העובדה היא שהתובעת לא ביקשה רשות לגשת למגרש ולבצע את הבדיקות אלא פעלה בהקשר זה כמחזיקה.</w:t>
      </w:r>
      <w:r>
        <w:rPr>
          <w:rFonts w:hint="cs" w:ascii="David" w:hAnsi="David" w:cs="David"/>
          <w:sz w:val="24"/>
          <w:szCs w:val="24"/>
          <w:rtl/>
        </w:rPr>
        <w:t xml:space="preserve"> עמד על כך מר חליס בעדות</w:t>
      </w:r>
      <w:r w:rsidR="00784393">
        <w:rPr>
          <w:rFonts w:hint="cs" w:ascii="David" w:hAnsi="David" w:cs="David"/>
          <w:sz w:val="24"/>
          <w:szCs w:val="24"/>
          <w:rtl/>
        </w:rPr>
        <w:t>ו כאשר הסביר: "</w:t>
      </w:r>
      <w:r w:rsidRPr="00784393" w:rsidR="00784393">
        <w:rPr>
          <w:rFonts w:ascii="David" w:hAnsi="David" w:cs="David"/>
          <w:sz w:val="24"/>
          <w:szCs w:val="24"/>
          <w:rtl/>
        </w:rPr>
        <w:t>אני לא אומר שביצוע קידוחי ניסיון מחליף את עצם הפעולה של מסירת מגרש, זה לא בא במקום, אני בא ואומר שברגע שיזם נכנס לבצע קידוחי ניסיון, משמעותו, אני בעל הבית של השטח, ראיתי, אני פה. אם צריך לגדר, אני אגדר, אם צריך לעבוד,</w:t>
      </w:r>
      <w:r w:rsidR="00784393">
        <w:rPr>
          <w:rFonts w:ascii="David" w:hAnsi="David" w:cs="David"/>
          <w:sz w:val="24"/>
          <w:szCs w:val="24"/>
          <w:rtl/>
        </w:rPr>
        <w:t xml:space="preserve"> אני אעבוד, ברגע שנכנסת, זה שלך</w:t>
      </w:r>
      <w:r w:rsidR="00784393">
        <w:rPr>
          <w:rFonts w:hint="cs" w:ascii="David" w:hAnsi="David" w:cs="David"/>
          <w:sz w:val="24"/>
          <w:szCs w:val="24"/>
          <w:rtl/>
        </w:rPr>
        <w:t>" (עמ' 51, שורות 6-9, וכן בעמ' 52, שורות 14-16).</w:t>
      </w:r>
    </w:p>
    <w:p w:rsidR="00EB269B" w:rsidP="00AB165E" w:rsidRDefault="00EB269B">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lastRenderedPageBreak/>
        <w:t>יצוין, כי העובדה לפיה התובעת בחרה לערוך ביטוח</w:t>
      </w:r>
      <w:r w:rsidR="00FA5111">
        <w:rPr>
          <w:rFonts w:hint="cs" w:ascii="David" w:hAnsi="David" w:cs="David"/>
          <w:sz w:val="24"/>
          <w:szCs w:val="24"/>
          <w:rtl/>
        </w:rPr>
        <w:t xml:space="preserve"> במועד מאוחר מאד, לאחר שהחלה בעבודות הבנייה, אינה יכולה לשמש כראיה ביחס למועד מסירת המגרש לתובעת. כאמור, התובעת סירבה לקבל המגרש ואף המשיכה לטעון כאילו המגרש לא נמסר לה, וזאת חרף העובדה שהמגרש אכן נמסר לה והחזקה בו עברה לידיה הרבה קודם למועד בו החלה בפועל בעבודות הבנייה.</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הנסיבות בעטיין נמנעה התובעת להשתמש במגרש למרות שקיבלה בו חזקה</w:t>
      </w:r>
    </w:p>
    <w:p w:rsidRPr="009A3621" w:rsidR="00C812D4" w:rsidP="00D7694F" w:rsidRDefault="00C771AD">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hint="cs" w:ascii="David" w:hAnsi="David" w:cs="David"/>
          <w:sz w:val="24"/>
          <w:szCs w:val="24"/>
          <w:rtl/>
        </w:rPr>
        <w:t>ב</w:t>
      </w:r>
      <w:r>
        <w:rPr>
          <w:rFonts w:ascii="David" w:hAnsi="David" w:cs="David"/>
          <w:sz w:val="24"/>
          <w:szCs w:val="24"/>
          <w:rtl/>
        </w:rPr>
        <w:t>יום 18.3.2019</w:t>
      </w:r>
      <w:r>
        <w:rPr>
          <w:rFonts w:hint="cs" w:ascii="David" w:hAnsi="David" w:cs="David"/>
          <w:sz w:val="24"/>
          <w:szCs w:val="24"/>
          <w:rtl/>
        </w:rPr>
        <w:t xml:space="preserve"> נשלח לתובעת </w:t>
      </w:r>
      <w:r w:rsidR="00C812D4">
        <w:rPr>
          <w:rFonts w:ascii="David" w:hAnsi="David" w:cs="David"/>
          <w:sz w:val="24"/>
          <w:szCs w:val="24"/>
          <w:rtl/>
        </w:rPr>
        <w:t>מכתב</w:t>
      </w:r>
      <w:r>
        <w:rPr>
          <w:rFonts w:hint="cs" w:ascii="David" w:hAnsi="David" w:cs="David"/>
          <w:sz w:val="24"/>
          <w:szCs w:val="24"/>
          <w:rtl/>
        </w:rPr>
        <w:t>ו</w:t>
      </w:r>
      <w:r w:rsidR="00C812D4">
        <w:rPr>
          <w:rFonts w:ascii="David" w:hAnsi="David" w:cs="David"/>
          <w:sz w:val="24"/>
          <w:szCs w:val="24"/>
          <w:rtl/>
        </w:rPr>
        <w:t xml:space="preserve"> של </w:t>
      </w:r>
      <w:r w:rsidR="009A3621">
        <w:rPr>
          <w:rFonts w:hint="cs" w:ascii="David" w:hAnsi="David" w:cs="David"/>
          <w:sz w:val="24"/>
          <w:szCs w:val="24"/>
          <w:rtl/>
        </w:rPr>
        <w:t xml:space="preserve">המהנדס מר </w:t>
      </w:r>
      <w:r w:rsidR="00C812D4">
        <w:rPr>
          <w:rFonts w:ascii="David" w:hAnsi="David" w:cs="David"/>
          <w:sz w:val="24"/>
          <w:szCs w:val="24"/>
          <w:rtl/>
        </w:rPr>
        <w:t xml:space="preserve">שלמה לבינר, בקר פרויקטים מטעם רמ"י, </w:t>
      </w:r>
      <w:r w:rsidR="009A3621">
        <w:rPr>
          <w:rFonts w:hint="cs" w:ascii="David" w:hAnsi="David" w:cs="David"/>
          <w:sz w:val="24"/>
          <w:szCs w:val="24"/>
          <w:rtl/>
        </w:rPr>
        <w:t>(</w:t>
      </w:r>
      <w:r w:rsidR="00C812D4">
        <w:rPr>
          <w:rFonts w:ascii="David" w:hAnsi="David" w:cs="David"/>
          <w:sz w:val="24"/>
          <w:szCs w:val="24"/>
          <w:rtl/>
        </w:rPr>
        <w:t xml:space="preserve">מוצג 44 </w:t>
      </w:r>
      <w:r w:rsidR="00D7694F">
        <w:rPr>
          <w:rFonts w:hint="cs" w:ascii="David" w:hAnsi="David" w:cs="David"/>
          <w:sz w:val="24"/>
          <w:szCs w:val="24"/>
          <w:rtl/>
        </w:rPr>
        <w:t>ל</w:t>
      </w:r>
      <w:r w:rsidR="00C812D4">
        <w:rPr>
          <w:rFonts w:ascii="David" w:hAnsi="David" w:cs="David"/>
          <w:sz w:val="24"/>
          <w:szCs w:val="24"/>
          <w:rtl/>
        </w:rPr>
        <w:t>תיק המוצגים מטעם התובעת, נספח 7 לכתב ההגנה מטעם המדינה).</w:t>
      </w:r>
      <w:r w:rsidR="009A3621">
        <w:rPr>
          <w:rFonts w:hint="cs" w:ascii="David" w:hAnsi="David" w:cs="David"/>
          <w:sz w:val="24"/>
          <w:szCs w:val="24"/>
          <w:rtl/>
        </w:rPr>
        <w:t xml:space="preserve"> </w:t>
      </w:r>
      <w:r w:rsidRPr="009A3621" w:rsidR="00C812D4">
        <w:rPr>
          <w:rFonts w:ascii="David" w:hAnsi="David" w:cs="David"/>
          <w:sz w:val="24"/>
          <w:szCs w:val="24"/>
          <w:rtl/>
        </w:rPr>
        <w:t>במכתב זה נטען כי מסירת מגרשים התקיימה בתאריך 21.6.2018, ובסיור שנערך ביום 18.3.2019 נמצא שטרם החלו עבודות לפי שלב 06. עוד נכתב כי מגרשים 13, 14 פנויים מכל המטרדים, קיימת גישה לעבודות פיתוח ובניה ואין כל מניעה לביצוע העבודות.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כן צוין שטרם התקבלו היתרי בנייה לפרויקט, וכי התובעת חרגה מהמועדים שנקבעו בתנאי המכרז, ולכן נדרשה להשלים את העבודות הנדרשות לשלב 06 לאלתר.</w:t>
      </w:r>
    </w:p>
    <w:p w:rsidR="00C812D4" w:rsidP="00F537DF"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מכתב זה מלמד, כי גם אם בתחילה העדיפה התובעת לה</w:t>
      </w:r>
      <w:r w:rsidR="00F537DF">
        <w:rPr>
          <w:rFonts w:hint="cs" w:ascii="David" w:hAnsi="David" w:cs="David"/>
          <w:sz w:val="24"/>
          <w:szCs w:val="24"/>
          <w:rtl/>
        </w:rPr>
        <w:t>משיך ולה</w:t>
      </w:r>
      <w:r>
        <w:rPr>
          <w:rFonts w:ascii="David" w:hAnsi="David" w:cs="David"/>
          <w:sz w:val="24"/>
          <w:szCs w:val="24"/>
          <w:rtl/>
        </w:rPr>
        <w:t>ניח, מטעמיה, כאילו עדיין נדרש</w:t>
      </w:r>
      <w:r w:rsidR="009A3621">
        <w:rPr>
          <w:rFonts w:hint="cs" w:ascii="David" w:hAnsi="David" w:cs="David"/>
          <w:sz w:val="24"/>
          <w:szCs w:val="24"/>
          <w:rtl/>
        </w:rPr>
        <w:t xml:space="preserve"> זימון נוסף למפגש </w:t>
      </w:r>
      <w:r>
        <w:rPr>
          <w:rFonts w:ascii="David" w:hAnsi="David" w:cs="David"/>
          <w:sz w:val="24"/>
          <w:szCs w:val="24"/>
          <w:rtl/>
        </w:rPr>
        <w:t>מסירה פורמלי של המגרש</w:t>
      </w:r>
      <w:r w:rsidR="00F537DF">
        <w:rPr>
          <w:rFonts w:hint="cs" w:ascii="David" w:hAnsi="David" w:cs="David"/>
          <w:sz w:val="24"/>
          <w:szCs w:val="24"/>
          <w:rtl/>
        </w:rPr>
        <w:t xml:space="preserve"> (ובהתבסס על מכתב חברת הפיקוח מיום 25.12.2018 בו נרשם "אתם תזומנו למסירה מסודרת בהקדם..")</w:t>
      </w:r>
      <w:r>
        <w:rPr>
          <w:rFonts w:ascii="David" w:hAnsi="David" w:cs="David"/>
          <w:sz w:val="24"/>
          <w:szCs w:val="24"/>
          <w:rtl/>
        </w:rPr>
        <w:t>, וזאת על אף שהחזקה בפועל כבר נמסרה לה כאמור</w:t>
      </w:r>
      <w:r w:rsidR="00F537DF">
        <w:rPr>
          <w:rFonts w:hint="cs" w:ascii="David" w:hAnsi="David" w:cs="David"/>
          <w:sz w:val="24"/>
          <w:szCs w:val="24"/>
          <w:rtl/>
        </w:rPr>
        <w:t xml:space="preserve"> בחודש ינואר 2019</w:t>
      </w:r>
      <w:r>
        <w:rPr>
          <w:rFonts w:ascii="David" w:hAnsi="David" w:cs="David"/>
          <w:sz w:val="24"/>
          <w:szCs w:val="24"/>
          <w:rtl/>
        </w:rPr>
        <w:t xml:space="preserve">, הרי שעם קבלת המכתב </w:t>
      </w:r>
      <w:r w:rsidR="00F537DF">
        <w:rPr>
          <w:rFonts w:hint="cs" w:ascii="David" w:hAnsi="David" w:cs="David"/>
          <w:sz w:val="24"/>
          <w:szCs w:val="24"/>
          <w:rtl/>
        </w:rPr>
        <w:t>מיום 18.3.2019</w:t>
      </w:r>
      <w:r>
        <w:rPr>
          <w:rFonts w:ascii="David" w:hAnsi="David" w:cs="David"/>
          <w:sz w:val="24"/>
          <w:szCs w:val="24"/>
          <w:rtl/>
        </w:rPr>
        <w:t xml:space="preserve">, הובהר </w:t>
      </w:r>
      <w:r w:rsidR="009A3621">
        <w:rPr>
          <w:rFonts w:hint="cs" w:ascii="David" w:hAnsi="David" w:cs="David"/>
          <w:sz w:val="24"/>
          <w:szCs w:val="24"/>
          <w:rtl/>
        </w:rPr>
        <w:t xml:space="preserve">לתובעת </w:t>
      </w:r>
      <w:r>
        <w:rPr>
          <w:rFonts w:ascii="David" w:hAnsi="David" w:cs="David"/>
          <w:sz w:val="24"/>
          <w:szCs w:val="24"/>
          <w:rtl/>
        </w:rPr>
        <w:t>כי מבחינת הרשויות (המדינה</w:t>
      </w:r>
      <w:r w:rsidR="00AB165E">
        <w:rPr>
          <w:rFonts w:hint="cs" w:ascii="David" w:hAnsi="David" w:cs="David"/>
          <w:sz w:val="24"/>
          <w:szCs w:val="24"/>
          <w:rtl/>
        </w:rPr>
        <w:t xml:space="preserve">, </w:t>
      </w:r>
      <w:r>
        <w:rPr>
          <w:rFonts w:ascii="David" w:hAnsi="David" w:cs="David"/>
          <w:sz w:val="24"/>
          <w:szCs w:val="24"/>
          <w:rtl/>
        </w:rPr>
        <w:t>העירייה</w:t>
      </w:r>
      <w:r w:rsidR="00AB165E">
        <w:rPr>
          <w:rFonts w:hint="cs" w:ascii="David" w:hAnsi="David" w:cs="David"/>
          <w:sz w:val="24"/>
          <w:szCs w:val="24"/>
          <w:rtl/>
        </w:rPr>
        <w:t xml:space="preserve"> והחכ"ל</w:t>
      </w:r>
      <w:r>
        <w:rPr>
          <w:rFonts w:ascii="David" w:hAnsi="David" w:cs="David"/>
          <w:sz w:val="24"/>
          <w:szCs w:val="24"/>
          <w:rtl/>
        </w:rPr>
        <w:t>) המגרש כבר נמסר, ולפי תנאי המכרז וההסכמים היה על התובעת כבר להימצא בעיצומן של עבודות של</w:t>
      </w:r>
      <w:r w:rsidR="00AB165E">
        <w:rPr>
          <w:rFonts w:hint="cs" w:ascii="David" w:hAnsi="David" w:cs="David"/>
          <w:sz w:val="24"/>
          <w:szCs w:val="24"/>
          <w:rtl/>
        </w:rPr>
        <w:t>ב</w:t>
      </w:r>
      <w:r>
        <w:rPr>
          <w:rFonts w:ascii="David" w:hAnsi="David" w:cs="David"/>
          <w:sz w:val="24"/>
          <w:szCs w:val="24"/>
          <w:rtl/>
        </w:rPr>
        <w:t xml:space="preserve"> 06. מעת שהתקבל המכתב אצל התובעת, לא </w:t>
      </w:r>
      <w:r w:rsidR="009A3621">
        <w:rPr>
          <w:rFonts w:hint="cs" w:ascii="David" w:hAnsi="David" w:cs="David"/>
          <w:sz w:val="24"/>
          <w:szCs w:val="24"/>
          <w:rtl/>
        </w:rPr>
        <w:t xml:space="preserve">היתה </w:t>
      </w:r>
      <w:r>
        <w:rPr>
          <w:rFonts w:ascii="David" w:hAnsi="David" w:cs="David"/>
          <w:sz w:val="24"/>
          <w:szCs w:val="24"/>
          <w:rtl/>
        </w:rPr>
        <w:t>רשאית התובעת לטעון כאילו היא ממתינה עדיין להזמנה לביצוע מסירה פורמלית, שעה שהובהר כי מבחינת הרשויות המגרש כבר בחזקתה והיא יכולה, ואף נדרשת, לפעול בו לקידום הבנייה.</w:t>
      </w:r>
    </w:p>
    <w:p w:rsidR="00C812D4" w:rsidP="00D76E54"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התובעת לא השיבה למכתבו של המהנדס מר לבינר מיום 18.</w:t>
      </w:r>
      <w:r w:rsidR="00D76E54">
        <w:rPr>
          <w:rFonts w:hint="cs" w:ascii="David" w:hAnsi="David" w:cs="David"/>
          <w:sz w:val="24"/>
          <w:szCs w:val="24"/>
          <w:rtl/>
        </w:rPr>
        <w:t>3</w:t>
      </w:r>
      <w:r>
        <w:rPr>
          <w:rFonts w:ascii="David" w:hAnsi="David" w:cs="David"/>
          <w:sz w:val="24"/>
          <w:szCs w:val="24"/>
          <w:rtl/>
        </w:rPr>
        <w:t>.2019 בסמוך לקבלתו. מנהל התובעת לא הצליח לתת הסבר מניח את הדעת לה</w:t>
      </w:r>
      <w:r w:rsidR="00D7694F">
        <w:rPr>
          <w:rFonts w:hint="cs" w:ascii="David" w:hAnsi="David" w:cs="David"/>
          <w:sz w:val="24"/>
          <w:szCs w:val="24"/>
          <w:rtl/>
        </w:rPr>
        <w:t>י</w:t>
      </w:r>
      <w:r>
        <w:rPr>
          <w:rFonts w:ascii="David" w:hAnsi="David" w:cs="David"/>
          <w:sz w:val="24"/>
          <w:szCs w:val="24"/>
          <w:rtl/>
        </w:rPr>
        <w:t>עדר המענה למכתב האמור מטעמה של התובעת (</w:t>
      </w:r>
      <w:r w:rsidR="009A3621">
        <w:rPr>
          <w:rFonts w:hint="cs" w:ascii="David" w:hAnsi="David" w:cs="David"/>
          <w:sz w:val="24"/>
          <w:szCs w:val="24"/>
          <w:rtl/>
        </w:rPr>
        <w:t xml:space="preserve">העד </w:t>
      </w:r>
      <w:r>
        <w:rPr>
          <w:rFonts w:ascii="David" w:hAnsi="David" w:cs="David"/>
          <w:sz w:val="24"/>
          <w:szCs w:val="24"/>
          <w:rtl/>
        </w:rPr>
        <w:t>נחקר ממושכות בעמ' 96 לפרוטוקול</w:t>
      </w:r>
      <w:r w:rsidR="009A3621">
        <w:rPr>
          <w:rFonts w:hint="cs" w:ascii="David" w:hAnsi="David" w:cs="David"/>
          <w:sz w:val="24"/>
          <w:szCs w:val="24"/>
          <w:rtl/>
        </w:rPr>
        <w:t xml:space="preserve"> מיום 23.10.2025</w:t>
      </w:r>
      <w:r>
        <w:rPr>
          <w:rFonts w:ascii="David" w:hAnsi="David" w:cs="David"/>
          <w:sz w:val="24"/>
          <w:szCs w:val="24"/>
          <w:rtl/>
        </w:rPr>
        <w:t xml:space="preserve"> והתשובות לא היו משכנעות). ההתרשמות מהעדות היא כי התובעת למעשה הבינה את מצב הדברים, כי המגרש מצוי בחזקתה ו</w:t>
      </w:r>
      <w:r w:rsidR="009A3621">
        <w:rPr>
          <w:rFonts w:hint="cs" w:ascii="David" w:hAnsi="David" w:cs="David"/>
          <w:sz w:val="24"/>
          <w:szCs w:val="24"/>
          <w:rtl/>
        </w:rPr>
        <w:t xml:space="preserve">באותו שלב היא פעלה </w:t>
      </w:r>
      <w:r>
        <w:rPr>
          <w:rFonts w:ascii="David" w:hAnsi="David" w:cs="David"/>
          <w:sz w:val="24"/>
          <w:szCs w:val="24"/>
          <w:rtl/>
        </w:rPr>
        <w:t>בניסיון לקדם קבלת היתר הבניה, ובשל הקשיים בהליכי התכנון, היא נזקקה לאורכה ביחס למועד מסירת הדירות לרוכשים.</w:t>
      </w:r>
    </w:p>
    <w:p w:rsidR="00C812D4" w:rsidP="009A3621" w:rsidRDefault="00C812D4">
      <w:pPr>
        <w:pStyle w:val="ad"/>
        <w:numPr>
          <w:ilvl w:val="0"/>
          <w:numId w:val="1"/>
        </w:numPr>
        <w:spacing w:after="240" w:line="360" w:lineRule="auto"/>
        <w:ind w:left="284" w:right="-170" w:hanging="454"/>
        <w:contextualSpacing w:val="0"/>
        <w:jc w:val="both"/>
        <w:rPr>
          <w:rFonts w:ascii="David" w:hAnsi="David" w:cs="David"/>
          <w:sz w:val="24"/>
          <w:szCs w:val="24"/>
          <w:u w:val="single"/>
        </w:rPr>
      </w:pPr>
      <w:r>
        <w:rPr>
          <w:rFonts w:ascii="David" w:hAnsi="David" w:cs="David"/>
          <w:sz w:val="24"/>
          <w:szCs w:val="24"/>
          <w:rtl/>
        </w:rPr>
        <w:t xml:space="preserve">בתכתובת שהוחלפה בין הצדדים בקשר לפרויקט, לאחר שהמגרש נמסר כאמור לתובעת כשהוא פנוי מכל אדם או חפץ במהלך חודש ינואר 2019, התובעת לא העלתה טענה כאילו מגרש 14 לא </w:t>
      </w:r>
      <w:r>
        <w:rPr>
          <w:rFonts w:ascii="David" w:hAnsi="David" w:cs="David"/>
          <w:sz w:val="24"/>
          <w:szCs w:val="24"/>
          <w:rtl/>
        </w:rPr>
        <w:lastRenderedPageBreak/>
        <w:t>נמסר לחזקתה כלל. כך למשל, במכתב עורכי דינה של התובעת בקשר לפרויקט, המופנה למש</w:t>
      </w:r>
      <w:r w:rsidR="009A3621">
        <w:rPr>
          <w:rFonts w:hint="cs" w:ascii="David" w:hAnsi="David" w:cs="David"/>
          <w:sz w:val="24"/>
          <w:szCs w:val="24"/>
          <w:rtl/>
        </w:rPr>
        <w:t>רד</w:t>
      </w:r>
      <w:r>
        <w:rPr>
          <w:rFonts w:ascii="David" w:hAnsi="David" w:cs="David"/>
          <w:sz w:val="24"/>
          <w:szCs w:val="24"/>
          <w:rtl/>
        </w:rPr>
        <w:t xml:space="preserve"> הבינוי והשיכון ולגורמי הפיקוח, ביום 12.5.2019 (מוצג 47 תיק המוצגים מטעם התובעת) התייחסה התובעת לשני המגרשים, מגרש 13 ומגרש 14, וטענה כי היא מנסה לקד</w:t>
      </w:r>
      <w:r w:rsidR="009A3621">
        <w:rPr>
          <w:rFonts w:hint="cs" w:ascii="David" w:hAnsi="David" w:cs="David"/>
          <w:sz w:val="24"/>
          <w:szCs w:val="24"/>
          <w:rtl/>
        </w:rPr>
        <w:t>ם</w:t>
      </w:r>
      <w:r>
        <w:rPr>
          <w:rFonts w:ascii="David" w:hAnsi="David" w:cs="David"/>
          <w:sz w:val="24"/>
          <w:szCs w:val="24"/>
          <w:rtl/>
        </w:rPr>
        <w:t xml:space="preserve"> את הפרויקט ככל יכולתה ובכלל זאת המציאה את המסמכים הנדרשים לחברת הפיקוח אשר לטענתה "גוררת רגליים" וכן הלינה על כך שרשויות התכנון טרם אישרו את היתר הבניה. במסגרת תלונותיה כאמור, התובעת לא העלתה באותו שלב טענה כלשהי כאילו אחד המגרשים לא נמסר לידיה.</w:t>
      </w:r>
    </w:p>
    <w:p w:rsidRPr="00DD43F3" w:rsidR="00DD43F3" w:rsidP="00DD43F3" w:rsidRDefault="00DD43F3">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עוד עולה מהעדויות, כי </w:t>
      </w:r>
      <w:r>
        <w:rPr>
          <w:rFonts w:ascii="David" w:hAnsi="David" w:cs="David"/>
          <w:sz w:val="24"/>
          <w:szCs w:val="24"/>
          <w:rtl/>
        </w:rPr>
        <w:t xml:space="preserve">במהלך החודשים ינואר-אוגוסט 2019, התובעת לא ציינה אף פעם בפני החברה הכלכלית </w:t>
      </w:r>
      <w:r>
        <w:rPr>
          <w:rFonts w:hint="cs" w:ascii="David" w:hAnsi="David" w:cs="David"/>
          <w:sz w:val="24"/>
          <w:szCs w:val="24"/>
          <w:rtl/>
        </w:rPr>
        <w:t xml:space="preserve">או נציגיה </w:t>
      </w:r>
      <w:r>
        <w:rPr>
          <w:rFonts w:ascii="David" w:hAnsi="David" w:cs="David"/>
          <w:sz w:val="24"/>
          <w:szCs w:val="24"/>
          <w:rtl/>
        </w:rPr>
        <w:t>כי המגרש לא נמסר לה, או שהיא ממתינה שתבוצע מסירה.</w:t>
      </w:r>
    </w:p>
    <w:p w:rsidR="00C812D4" w:rsidP="00AB165E"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בשלב מאוחר יותר, במהלך חודש יולי 2019, פנו עורכי דינה של התובעת במכתב מיום 21.7.2019 למשרד הבינוי והשיכון, במסגרתו ביקשה התובעת לקבל אורכה להשלמת הבנייה בפרויקט (מוצג 45 לתיק המוצגים מטעם התובעת). במכתב זה הסבירו עורכי דינה של התובעת כי התובעת עושה ככל שביכולתה לקדם הפרויקט אולם היא נתקלת בקשיים. בסעיף 8 למכתב האמור צוין ביחס למגרש 14 כי בניית הבניין במגרש 14 אשר מתוכנן להיות בן 39 קומות הינה מטבע הדברים מורכבת וסבוכה וביצועה יידרש זמן רב. כלומר, במכתב בו ביקשה התובעת לקבל אורכה להשלמת הבנייה, התובעת לא טענה כאילו מגרש 14 לא נמסר לידיה עד לאותו מועד, מהטעם הפשוט שטענה כאמור, אשר לפי המידע שהיה קיים במשרד הבינוי והשיכון לא תאמה את המציאות, היתה עלולה לפגוע בסיכוייה של התובעת לקבל אורכה להשלמת הבניה. (</w:t>
      </w:r>
      <w:r w:rsidR="009A3621">
        <w:rPr>
          <w:rFonts w:hint="cs" w:ascii="David" w:hAnsi="David" w:cs="David"/>
          <w:sz w:val="24"/>
          <w:szCs w:val="24"/>
          <w:rtl/>
        </w:rPr>
        <w:t xml:space="preserve">יצוין, כי </w:t>
      </w:r>
      <w:r>
        <w:rPr>
          <w:rFonts w:ascii="David" w:hAnsi="David" w:cs="David"/>
          <w:sz w:val="24"/>
          <w:szCs w:val="24"/>
          <w:rtl/>
        </w:rPr>
        <w:t>המענה של מנהל התובעת ל</w:t>
      </w:r>
      <w:r w:rsidR="009A3621">
        <w:rPr>
          <w:rFonts w:hint="cs" w:ascii="David" w:hAnsi="David" w:cs="David"/>
          <w:sz w:val="24"/>
          <w:szCs w:val="24"/>
          <w:rtl/>
        </w:rPr>
        <w:t>שאלות שהוצגו ל</w:t>
      </w:r>
      <w:r>
        <w:rPr>
          <w:rFonts w:ascii="David" w:hAnsi="David" w:cs="David"/>
          <w:sz w:val="24"/>
          <w:szCs w:val="24"/>
          <w:rtl/>
        </w:rPr>
        <w:t>גבי ההפרדה בין הטענות בשני המכתבים</w:t>
      </w:r>
      <w:r w:rsidR="00AB165E">
        <w:rPr>
          <w:rFonts w:hint="cs" w:ascii="David" w:hAnsi="David" w:cs="David"/>
          <w:sz w:val="24"/>
          <w:szCs w:val="24"/>
          <w:rtl/>
        </w:rPr>
        <w:t>,</w:t>
      </w:r>
      <w:r>
        <w:rPr>
          <w:rFonts w:ascii="David" w:hAnsi="David" w:cs="David"/>
          <w:sz w:val="24"/>
          <w:szCs w:val="24"/>
          <w:rtl/>
        </w:rPr>
        <w:t xml:space="preserve"> למהנדס מר לבינר ולמשרד השיכון</w:t>
      </w:r>
      <w:r w:rsidR="00AB165E">
        <w:rPr>
          <w:rFonts w:hint="cs" w:ascii="David" w:hAnsi="David" w:cs="David"/>
          <w:sz w:val="24"/>
          <w:szCs w:val="24"/>
          <w:rtl/>
        </w:rPr>
        <w:t xml:space="preserve"> -</w:t>
      </w:r>
      <w:r w:rsidR="009A3621">
        <w:rPr>
          <w:rFonts w:ascii="David" w:hAnsi="David" w:cs="David"/>
          <w:sz w:val="24"/>
          <w:szCs w:val="24"/>
          <w:rtl/>
        </w:rPr>
        <w:t xml:space="preserve"> לא הי</w:t>
      </w:r>
      <w:r>
        <w:rPr>
          <w:rFonts w:ascii="David" w:hAnsi="David" w:cs="David"/>
          <w:sz w:val="24"/>
          <w:szCs w:val="24"/>
          <w:rtl/>
        </w:rPr>
        <w:t xml:space="preserve">ה משכנע, ראו: </w:t>
      </w:r>
      <w:r w:rsidR="009A3621">
        <w:rPr>
          <w:rFonts w:ascii="David" w:hAnsi="David" w:cs="David"/>
          <w:sz w:val="24"/>
          <w:szCs w:val="24"/>
          <w:rtl/>
        </w:rPr>
        <w:t>פרוטוקול</w:t>
      </w:r>
      <w:r w:rsidR="009A3621">
        <w:rPr>
          <w:rFonts w:hint="cs" w:ascii="David" w:hAnsi="David" w:cs="David"/>
          <w:sz w:val="24"/>
          <w:szCs w:val="24"/>
          <w:rtl/>
        </w:rPr>
        <w:t xml:space="preserve"> מיום 23.10.2025</w:t>
      </w:r>
      <w:r w:rsidR="0072151B">
        <w:rPr>
          <w:rFonts w:hint="cs" w:ascii="David" w:hAnsi="David" w:cs="David"/>
          <w:sz w:val="24"/>
          <w:szCs w:val="24"/>
          <w:rtl/>
        </w:rPr>
        <w:t>, ע</w:t>
      </w:r>
      <w:r>
        <w:rPr>
          <w:rFonts w:ascii="David" w:hAnsi="David" w:cs="David"/>
          <w:sz w:val="24"/>
          <w:szCs w:val="24"/>
          <w:rtl/>
        </w:rPr>
        <w:t>מ' 98, שורות 6-9).</w:t>
      </w:r>
    </w:p>
    <w:p w:rsidR="00C812D4" w:rsidP="00D76E54"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בד בבד עם משלוח מכתב הבקשה למשרד הבינוי והשיכון, שלחו עורכי דינה של התובעת מכתב </w:t>
      </w:r>
      <w:r w:rsidR="00AB165E">
        <w:rPr>
          <w:rFonts w:hint="cs" w:ascii="David" w:hAnsi="David" w:cs="David"/>
          <w:sz w:val="24"/>
          <w:szCs w:val="24"/>
          <w:rtl/>
        </w:rPr>
        <w:t>נפרד כ</w:t>
      </w:r>
      <w:r>
        <w:rPr>
          <w:rFonts w:ascii="David" w:hAnsi="David" w:cs="David"/>
          <w:sz w:val="24"/>
          <w:szCs w:val="24"/>
          <w:rtl/>
        </w:rPr>
        <w:t>תשובה לבקר</w:t>
      </w:r>
      <w:r w:rsidR="0072151B">
        <w:rPr>
          <w:rFonts w:hint="cs" w:ascii="David" w:hAnsi="David" w:cs="David"/>
          <w:sz w:val="24"/>
          <w:szCs w:val="24"/>
          <w:rtl/>
        </w:rPr>
        <w:t>,</w:t>
      </w:r>
      <w:r>
        <w:rPr>
          <w:rFonts w:ascii="David" w:hAnsi="David" w:cs="David"/>
          <w:sz w:val="24"/>
          <w:szCs w:val="24"/>
          <w:rtl/>
        </w:rPr>
        <w:t xml:space="preserve"> המהנדס מר לבינר, ובמכתב זה </w:t>
      </w:r>
      <w:r w:rsidR="00D76E54">
        <w:rPr>
          <w:rFonts w:hint="cs" w:ascii="David" w:hAnsi="David" w:cs="David"/>
          <w:sz w:val="24"/>
          <w:szCs w:val="24"/>
          <w:rtl/>
        </w:rPr>
        <w:t xml:space="preserve">של התובעת </w:t>
      </w:r>
      <w:r>
        <w:rPr>
          <w:rFonts w:ascii="David" w:hAnsi="David" w:cs="David"/>
          <w:sz w:val="24"/>
          <w:szCs w:val="24"/>
          <w:rtl/>
        </w:rPr>
        <w:t>מיום 21.7.</w:t>
      </w:r>
      <w:r w:rsidR="00D76E54">
        <w:rPr>
          <w:rFonts w:hint="cs" w:ascii="David" w:hAnsi="David" w:cs="David"/>
          <w:sz w:val="24"/>
          <w:szCs w:val="24"/>
          <w:rtl/>
        </w:rPr>
        <w:t>2019</w:t>
      </w:r>
      <w:r>
        <w:rPr>
          <w:rFonts w:ascii="David" w:hAnsi="David" w:cs="David"/>
          <w:sz w:val="24"/>
          <w:szCs w:val="24"/>
          <w:rtl/>
        </w:rPr>
        <w:t xml:space="preserve"> (מוצג 46 לתיק המוצגים מטעם התובעת) הועלתה לראשונה הטענה כאילו לא בוצעה לידי התובעת מסירה מסודרת של מגרש 14. במכתב התשובה טענו עורכי דינה של התובעת כי בניגוד לאמור במכתבו של המהנדס מר לבינר, מסירת המגרשים לא התקיימה ביום 1.6.2018, וכי רק מגרש 13 נמסר ביום 20.12.2018 וזאת חרף התנגדותה של התובעת. כך נטען כי על פי הסכם התשתיות "החזקה במגרשים תימסר למרשתנו במועד שבו ניתן יהיה לבצע את עבודות הבנייה בפועל. עם זאת, כידוע מצב הדברים הוא שונה בתכלית." עוד צוין במכתב כי התובעת עושה מאמצים לקדם את הפרויקט וכי היא פנתה בבקשה למשרד הבינוי והשיכון להאריך לה את המועד למסירת דירות לרוכשים וכי היא תנסה לעמוד בלוחות הזמנים שנקבעו על מנת להשלים הפרויקט בהקדם.</w:t>
      </w:r>
    </w:p>
    <w:p w:rsidR="00C812D4" w:rsidP="0072151B"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כעולה ממכתב זה, התובעת העלתה לראשונה רק בחודש יולי 2019 את הטענה לפיה לא בוצעה לידיה מסירה מסודרת של מגרש 14, כאשר הבסיס לטענה היה נעוץ במצב הדברים בשטח</w:t>
      </w:r>
      <w:r w:rsidR="0072151B">
        <w:rPr>
          <w:rFonts w:hint="cs" w:ascii="David" w:hAnsi="David" w:cs="David"/>
          <w:sz w:val="24"/>
          <w:szCs w:val="24"/>
          <w:rtl/>
        </w:rPr>
        <w:t>,</w:t>
      </w:r>
      <w:r>
        <w:rPr>
          <w:rFonts w:ascii="David" w:hAnsi="David" w:cs="David"/>
          <w:sz w:val="24"/>
          <w:szCs w:val="24"/>
          <w:rtl/>
        </w:rPr>
        <w:t xml:space="preserve"> על </w:t>
      </w:r>
      <w:r>
        <w:rPr>
          <w:rFonts w:ascii="David" w:hAnsi="David" w:cs="David"/>
          <w:sz w:val="24"/>
          <w:szCs w:val="24"/>
          <w:rtl/>
        </w:rPr>
        <w:lastRenderedPageBreak/>
        <w:t>יסוד טענה לפיה מצבו של המגרש לא איפשר לבצע את עבודות הבנייה בפועל. אלא שכאמור, העובדות בשטח היו שונות בתכלית. המגרש היה פנוי והועמד לרשותה של התובעת כבר בחודש דצמבר 2018, וגם ערימת עפר שנותרה באותו שלב בשולי המגרש, פונתה בפועל במלואה במהלך חודש ינואר 2019, והתובעת אף ידעה על כך.</w:t>
      </w:r>
    </w:p>
    <w:p w:rsidR="00C812D4" w:rsidP="0072151B"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במכתב האמור התובעת לא העלתה את הטענות שהיא מעלה כעת בתביעתה, כי היא כלל לא קיבלה לחזקתה את המגרש</w:t>
      </w:r>
      <w:r w:rsidR="0072151B">
        <w:rPr>
          <w:rFonts w:hint="cs" w:ascii="David" w:hAnsi="David" w:cs="David"/>
          <w:sz w:val="24"/>
          <w:szCs w:val="24"/>
          <w:rtl/>
        </w:rPr>
        <w:t xml:space="preserve">. </w:t>
      </w:r>
      <w:r>
        <w:rPr>
          <w:rFonts w:ascii="David" w:hAnsi="David" w:cs="David"/>
          <w:sz w:val="24"/>
          <w:szCs w:val="24"/>
          <w:rtl/>
        </w:rPr>
        <w:t xml:space="preserve">מנהל התובעת התקשה לתת מענה לשאלות מדוע התובעת לא העלתה את </w:t>
      </w:r>
      <w:r w:rsidR="0072151B">
        <w:rPr>
          <w:rFonts w:hint="cs" w:ascii="David" w:hAnsi="David" w:cs="David"/>
          <w:sz w:val="24"/>
          <w:szCs w:val="24"/>
          <w:rtl/>
        </w:rPr>
        <w:t xml:space="preserve">מלוא </w:t>
      </w:r>
      <w:r>
        <w:rPr>
          <w:rFonts w:ascii="David" w:hAnsi="David" w:cs="David"/>
          <w:sz w:val="24"/>
          <w:szCs w:val="24"/>
          <w:rtl/>
        </w:rPr>
        <w:t xml:space="preserve">הטענות, </w:t>
      </w:r>
      <w:r w:rsidR="0072151B">
        <w:rPr>
          <w:rFonts w:hint="cs" w:ascii="David" w:hAnsi="David" w:cs="David"/>
          <w:sz w:val="24"/>
          <w:szCs w:val="24"/>
          <w:rtl/>
        </w:rPr>
        <w:t>כבר</w:t>
      </w:r>
      <w:r>
        <w:rPr>
          <w:rFonts w:ascii="David" w:hAnsi="David" w:cs="David"/>
          <w:sz w:val="24"/>
          <w:szCs w:val="24"/>
          <w:rtl/>
        </w:rPr>
        <w:t xml:space="preserve"> ב</w:t>
      </w:r>
      <w:r w:rsidR="0072151B">
        <w:rPr>
          <w:rFonts w:ascii="David" w:hAnsi="David" w:cs="David"/>
          <w:sz w:val="24"/>
          <w:szCs w:val="24"/>
          <w:rtl/>
        </w:rPr>
        <w:t>מכתב עורכי הדין מחודש יולי 2019</w:t>
      </w:r>
      <w:r w:rsidR="0072151B">
        <w:rPr>
          <w:rFonts w:hint="cs" w:ascii="David" w:hAnsi="David" w:cs="David"/>
          <w:sz w:val="24"/>
          <w:szCs w:val="24"/>
          <w:rtl/>
        </w:rPr>
        <w:t xml:space="preserve"> (</w:t>
      </w:r>
      <w:r w:rsidR="0072151B">
        <w:rPr>
          <w:rFonts w:ascii="David" w:hAnsi="David" w:cs="David"/>
          <w:sz w:val="24"/>
          <w:szCs w:val="24"/>
          <w:rtl/>
        </w:rPr>
        <w:t>עמ' 99</w:t>
      </w:r>
      <w:r w:rsidR="0072151B">
        <w:rPr>
          <w:rFonts w:hint="cs" w:ascii="David" w:hAnsi="David" w:cs="David"/>
          <w:sz w:val="24"/>
          <w:szCs w:val="24"/>
          <w:rtl/>
        </w:rPr>
        <w:t xml:space="preserve">, </w:t>
      </w:r>
      <w:r w:rsidR="0072151B">
        <w:rPr>
          <w:rFonts w:ascii="David" w:hAnsi="David" w:cs="David"/>
          <w:sz w:val="24"/>
          <w:szCs w:val="24"/>
          <w:rtl/>
        </w:rPr>
        <w:t>שורות 12-22</w:t>
      </w:r>
      <w:r w:rsidR="0072151B">
        <w:rPr>
          <w:rFonts w:hint="cs" w:ascii="David" w:hAnsi="David" w:cs="David"/>
          <w:sz w:val="24"/>
          <w:szCs w:val="24"/>
          <w:rtl/>
        </w:rPr>
        <w:t>).</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לאחר משלוח המכתבים מחודש יולי 2019 חזרה התובעת על בקשותיה לקבלת אורכה להשלמת הבנייה, תוך דגש על מורכב</w:t>
      </w:r>
      <w:r w:rsidR="00D76E54">
        <w:rPr>
          <w:rFonts w:hint="cs" w:ascii="David" w:hAnsi="David" w:cs="David"/>
          <w:sz w:val="24"/>
          <w:szCs w:val="24"/>
          <w:rtl/>
        </w:rPr>
        <w:t>ו</w:t>
      </w:r>
      <w:r>
        <w:rPr>
          <w:rFonts w:ascii="David" w:hAnsi="David" w:cs="David"/>
          <w:sz w:val="24"/>
          <w:szCs w:val="24"/>
          <w:rtl/>
        </w:rPr>
        <w:t>ת הבנייה במגרש 14. בבקשות התובעת מחודש אוגוסט 2019 (מוצג 48) וכן מחודש מרץ 2020 (מוצג 49) התובעת לא חזרה על הטענה כאילו לא קיבלה לידיה חזקה במגרש 14, ועניין זה לא נכלל בין הטענות שפורטו בבקשות התובעת לד</w:t>
      </w:r>
      <w:r w:rsidR="0072151B">
        <w:rPr>
          <w:rFonts w:hint="cs" w:ascii="David" w:hAnsi="David" w:cs="David"/>
          <w:sz w:val="24"/>
          <w:szCs w:val="24"/>
          <w:rtl/>
        </w:rPr>
        <w:t>ח</w:t>
      </w:r>
      <w:r>
        <w:rPr>
          <w:rFonts w:ascii="David" w:hAnsi="David" w:cs="David"/>
          <w:sz w:val="24"/>
          <w:szCs w:val="24"/>
          <w:rtl/>
        </w:rPr>
        <w:t>יית המועד הקבוע להשלמת הבנייה של הפרויקט ומסירת הדירות לרוכשים.</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בחקירתו הנגדית עומת מנהל התובעת עם העובדה שבכל המכתבים שנשלחו מטעמה של התובעת </w:t>
      </w:r>
      <w:r>
        <w:rPr>
          <w:rFonts w:ascii="David" w:hAnsi="David" w:cs="David"/>
          <w:sz w:val="24"/>
          <w:szCs w:val="24"/>
          <w:rtl/>
          <w:lang w:eastAsia="he-IL"/>
        </w:rPr>
        <w:t xml:space="preserve">המתייחסים למורכבות, לעיכובים ולבקשה להאריך את המועד, </w:t>
      </w:r>
      <w:r w:rsidR="00D7694F">
        <w:rPr>
          <w:rFonts w:hint="cs" w:ascii="David" w:hAnsi="David" w:cs="David"/>
          <w:sz w:val="24"/>
          <w:szCs w:val="24"/>
          <w:rtl/>
          <w:lang w:eastAsia="he-IL"/>
        </w:rPr>
        <w:t>לא היתה</w:t>
      </w:r>
      <w:r>
        <w:rPr>
          <w:rFonts w:ascii="David" w:hAnsi="David" w:cs="David"/>
          <w:sz w:val="24"/>
          <w:szCs w:val="24"/>
          <w:rtl/>
          <w:lang w:eastAsia="he-IL"/>
        </w:rPr>
        <w:t xml:space="preserve"> </w:t>
      </w:r>
      <w:r w:rsidR="00D7694F">
        <w:rPr>
          <w:rFonts w:hint="cs" w:ascii="David" w:hAnsi="David" w:cs="David"/>
          <w:sz w:val="24"/>
          <w:szCs w:val="24"/>
          <w:rtl/>
          <w:lang w:eastAsia="he-IL"/>
        </w:rPr>
        <w:t>כל</w:t>
      </w:r>
      <w:r>
        <w:rPr>
          <w:rFonts w:ascii="David" w:hAnsi="David" w:cs="David"/>
          <w:sz w:val="24"/>
          <w:szCs w:val="24"/>
          <w:rtl/>
          <w:lang w:eastAsia="he-IL"/>
        </w:rPr>
        <w:t xml:space="preserve"> התייחסות לאי מסירת המגרש. אולם המענה שניתן לכך על ידי מנהל התובעת לא הותיר רושם אמין ולא היה משכנע (ראו: עמ' 3</w:t>
      </w:r>
      <w:r w:rsidR="00932A9D">
        <w:rPr>
          <w:rFonts w:ascii="David" w:hAnsi="David" w:cs="David"/>
          <w:sz w:val="24"/>
          <w:szCs w:val="24"/>
          <w:rtl/>
          <w:lang w:eastAsia="he-IL"/>
        </w:rPr>
        <w:t>9, שורות 31-37 לפרוטוקול</w:t>
      </w:r>
      <w:r w:rsidR="00932A9D">
        <w:rPr>
          <w:rFonts w:hint="cs" w:ascii="David" w:hAnsi="David" w:cs="David"/>
          <w:sz w:val="24"/>
          <w:szCs w:val="24"/>
          <w:rtl/>
          <w:lang w:eastAsia="he-IL"/>
        </w:rPr>
        <w:t>,</w:t>
      </w:r>
      <w:r>
        <w:rPr>
          <w:rFonts w:ascii="David" w:hAnsi="David" w:cs="David"/>
          <w:sz w:val="24"/>
          <w:szCs w:val="24"/>
          <w:rtl/>
        </w:rPr>
        <w:t xml:space="preserve"> וכן גם בעמ' 52, שורות 28-39).</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עדותו של מנהל התובע</w:t>
      </w:r>
      <w:r w:rsidR="00D76E54">
        <w:rPr>
          <w:rFonts w:hint="cs" w:ascii="David" w:hAnsi="David" w:cs="David"/>
          <w:sz w:val="24"/>
          <w:szCs w:val="24"/>
          <w:rtl/>
        </w:rPr>
        <w:t>ת</w:t>
      </w:r>
      <w:r>
        <w:rPr>
          <w:rFonts w:ascii="David" w:hAnsi="David" w:cs="David"/>
          <w:sz w:val="24"/>
          <w:szCs w:val="24"/>
          <w:rtl/>
        </w:rPr>
        <w:t xml:space="preserve"> לא סיפקה הסבר משכנע לפרק הזמן הארוך שחלף ממועד קבלת מכתבו של המהנדס לבינר ועד אשר העלתה התובעת לראשונה את טענתה ביחס למסירת המגרש (ראו: בעמ' 54, שורות 28-34):</w:t>
      </w:r>
    </w:p>
    <w:p w:rsidR="00C812D4" w:rsidP="0072151B" w:rsidRDefault="00084B42">
      <w:pPr>
        <w:pStyle w:val="ad"/>
        <w:spacing w:after="120" w:line="240" w:lineRule="auto"/>
        <w:ind w:left="1440" w:right="737" w:hanging="703"/>
        <w:contextualSpacing w:val="0"/>
        <w:jc w:val="both"/>
        <w:rPr>
          <w:rFonts w:ascii="David" w:hAnsi="David" w:cs="David"/>
          <w:sz w:val="24"/>
          <w:szCs w:val="24"/>
        </w:rPr>
      </w:pPr>
      <w:r>
        <w:rPr>
          <w:rFonts w:hint="cs" w:ascii="David" w:hAnsi="David" w:cs="David"/>
          <w:sz w:val="24"/>
          <w:szCs w:val="24"/>
          <w:rtl/>
        </w:rPr>
        <w:t>"</w:t>
      </w:r>
      <w:r w:rsidR="00C812D4">
        <w:rPr>
          <w:rFonts w:ascii="David" w:hAnsi="David" w:cs="David"/>
          <w:sz w:val="24"/>
          <w:szCs w:val="24"/>
          <w:rtl/>
        </w:rPr>
        <w:t xml:space="preserve">כב' השופט: </w:t>
      </w:r>
      <w:r w:rsidR="00C812D4">
        <w:rPr>
          <w:rFonts w:ascii="David" w:hAnsi="David" w:cs="David"/>
          <w:sz w:val="24"/>
          <w:szCs w:val="24"/>
          <w:rtl/>
        </w:rPr>
        <w:tab/>
        <w:t>לא, היא אומרת שבתכתובת רבה שהוחלפה עם התלונות שלכם במהלך השנים 20-21, שביקשתם אורכות והסברתם על כול הבעיות, אתה אומר שיש מכתב שאומר שלא קיבלנו,</w:t>
      </w:r>
    </w:p>
    <w:p w:rsidR="00C812D4" w:rsidP="0072151B" w:rsidRDefault="00C812D4">
      <w:pPr>
        <w:pStyle w:val="ad"/>
        <w:spacing w:after="120" w:line="240" w:lineRule="auto"/>
        <w:ind w:left="1440" w:right="737" w:hanging="703"/>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אם אני לא טועה בחודש 7/21, באמצע 21, עו"ד עמוס כתב להם מכתב שלא קיבלנו את המגרש ואנחנו מבקשים שיטפלו בזה.</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ש.: </w:t>
      </w:r>
      <w:r>
        <w:rPr>
          <w:rFonts w:ascii="David" w:hAnsi="David" w:cs="David"/>
          <w:sz w:val="24"/>
          <w:szCs w:val="24"/>
          <w:rtl/>
        </w:rPr>
        <w:tab/>
        <w:t>באמצע 21'?</w:t>
      </w:r>
    </w:p>
    <w:p w:rsidR="00C812D4" w:rsidP="00084B42" w:rsidRDefault="00C812D4">
      <w:pPr>
        <w:pStyle w:val="ad"/>
        <w:spacing w:after="240" w:line="240" w:lineRule="auto"/>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כן".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מנהל התובעת אף אישר בעדותו כי לפני שהתובעת פנתה לקדם חתימה על הסכמי מכר מול רוכשים בסבב השני של המכירה, הוא ביקש לוודא שאכן תקבל אורכה ריאלית (ראו: עמ' 47, שורות 35-38). כלומר, התובעת היא שעיכבה מיוזמתה את הליכי החתימה על הסכמי המכר וזאת נוכח רצונה לקבל ארכה להשלמת הבניה וביחס למועד המסירה של הדירות. </w:t>
      </w:r>
    </w:p>
    <w:p w:rsidR="00C812D4" w:rsidP="00932A9D"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כאשר בחלוף פרק זמן ארוך התקבלה לבסוף האורכה, התגלה לתובעת כי יש לה בעיה בכל הנוגע להצמדת מחיר הדירות, וזאת בשל חלוף למעלה מ-20 חוד</w:t>
      </w:r>
      <w:r w:rsidR="00932A9D">
        <w:rPr>
          <w:rFonts w:ascii="David" w:hAnsi="David" w:cs="David"/>
          <w:sz w:val="24"/>
          <w:szCs w:val="24"/>
          <w:rtl/>
        </w:rPr>
        <w:t>שים מהמועד שבו נמסר לה מגרש 14</w:t>
      </w:r>
      <w:r w:rsidR="00932A9D">
        <w:rPr>
          <w:rFonts w:hint="cs" w:ascii="David" w:hAnsi="David" w:cs="David"/>
          <w:sz w:val="24"/>
          <w:szCs w:val="24"/>
          <w:rtl/>
        </w:rPr>
        <w:t xml:space="preserve"> </w:t>
      </w:r>
      <w:r>
        <w:rPr>
          <w:rFonts w:ascii="David" w:hAnsi="David" w:cs="David"/>
          <w:sz w:val="24"/>
          <w:szCs w:val="24"/>
          <w:rtl/>
        </w:rPr>
        <w:t>(ראו עדות מנהל התובעת בעמ' 48 שורות 1-4).</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מנהל התובעת אישר למעשה בעדותו בבית המשפט כי העיכוב בחתימת הסכמי המכר נבע משיקולים כלכליים של התובעת, אשר הבינה כי לא יהיה לה משתלם מבחינה כלכלית לקדם הבנייה אלא אם תקבל אישור לדחייה של מועד השלמת הבנייה ומסירת הדירות רוכשים (ראו: עמ' 49, שורה 31 עד עמ' 50 שורה 3):</w:t>
      </w:r>
    </w:p>
    <w:p w:rsidR="00C812D4" w:rsidP="0072151B" w:rsidRDefault="00C812D4">
      <w:pPr>
        <w:pStyle w:val="ad"/>
        <w:spacing w:after="120" w:line="240" w:lineRule="auto"/>
        <w:ind w:left="1440" w:right="737" w:hanging="703"/>
        <w:contextualSpacing w:val="0"/>
        <w:jc w:val="both"/>
        <w:rPr>
          <w:rFonts w:ascii="David" w:hAnsi="David" w:cs="David"/>
          <w:sz w:val="24"/>
          <w:szCs w:val="24"/>
        </w:rPr>
      </w:pPr>
      <w:r>
        <w:rPr>
          <w:rFonts w:ascii="David" w:hAnsi="David" w:cs="David"/>
          <w:sz w:val="24"/>
          <w:szCs w:val="24"/>
          <w:rtl/>
        </w:rPr>
        <w:t xml:space="preserve">"כב' השופט: </w:t>
      </w:r>
      <w:r>
        <w:rPr>
          <w:rFonts w:ascii="David" w:hAnsi="David" w:cs="David"/>
          <w:sz w:val="24"/>
          <w:szCs w:val="24"/>
          <w:rtl/>
        </w:rPr>
        <w:tab/>
        <w:t>אבל בעצם מה שעולה מהחקירה כרגע, זה שהעיכוב בחתימת החוזים עם הדירות היה קשור בעיקר לרצון שלך לקבל אישור על כך שיש לך את הארכה למסירה, שלא תחתום,</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כן, כי אני לא יכול לבנות</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כב' השופט: </w:t>
      </w:r>
      <w:r>
        <w:rPr>
          <w:rFonts w:ascii="David" w:hAnsi="David" w:cs="David"/>
          <w:sz w:val="24"/>
          <w:szCs w:val="24"/>
          <w:rtl/>
        </w:rPr>
        <w:tab/>
        <w:t>אוקיי,</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לא ניתן לבנות, זה ללכת הביתה, לשים את הבניין וללכת</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ש.: </w:t>
      </w:r>
      <w:r>
        <w:rPr>
          <w:rFonts w:ascii="David" w:hAnsi="David" w:cs="David"/>
          <w:sz w:val="24"/>
          <w:szCs w:val="24"/>
          <w:rtl/>
        </w:rPr>
        <w:tab/>
        <w:t>יכולת לבנות</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לא</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ש.: </w:t>
      </w:r>
      <w:r>
        <w:rPr>
          <w:rFonts w:ascii="David" w:hAnsi="David" w:cs="David"/>
          <w:sz w:val="24"/>
          <w:szCs w:val="24"/>
          <w:rtl/>
        </w:rPr>
        <w:tab/>
        <w:t>יכולת לבנות</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ת.: </w:t>
      </w:r>
      <w:r>
        <w:rPr>
          <w:rFonts w:ascii="David" w:hAnsi="David" w:cs="David"/>
          <w:sz w:val="24"/>
          <w:szCs w:val="24"/>
          <w:rtl/>
        </w:rPr>
        <w:tab/>
        <w:t>למה אני אבנה אותו?</w:t>
      </w:r>
    </w:p>
    <w:p w:rsidR="00C812D4" w:rsidP="003A37D9" w:rsidRDefault="00C812D4">
      <w:pPr>
        <w:pStyle w:val="ad"/>
        <w:spacing w:after="120" w:line="240" w:lineRule="auto"/>
        <w:ind w:left="737" w:right="737"/>
        <w:contextualSpacing w:val="0"/>
        <w:jc w:val="both"/>
        <w:rPr>
          <w:rFonts w:ascii="David" w:hAnsi="David" w:cs="David"/>
          <w:sz w:val="24"/>
          <w:szCs w:val="24"/>
          <w:rtl/>
        </w:rPr>
      </w:pPr>
      <w:r>
        <w:rPr>
          <w:rFonts w:ascii="David" w:hAnsi="David" w:cs="David"/>
          <w:sz w:val="24"/>
          <w:szCs w:val="24"/>
          <w:rtl/>
        </w:rPr>
        <w:t xml:space="preserve">כב' השופט: </w:t>
      </w:r>
      <w:r>
        <w:rPr>
          <w:rFonts w:ascii="David" w:hAnsi="David" w:cs="David"/>
          <w:sz w:val="24"/>
          <w:szCs w:val="24"/>
          <w:rtl/>
        </w:rPr>
        <w:tab/>
        <w:t>לא, יכולת לבנות, זה לא היה משתלם</w:t>
      </w:r>
    </w:p>
    <w:p w:rsidR="00C812D4" w:rsidP="00084B42" w:rsidRDefault="00C812D4">
      <w:pPr>
        <w:pStyle w:val="ad"/>
        <w:spacing w:after="240" w:line="240" w:lineRule="auto"/>
        <w:ind w:left="737" w:right="737"/>
        <w:contextualSpacing w:val="0"/>
        <w:jc w:val="both"/>
        <w:rPr>
          <w:rFonts w:ascii="David" w:hAnsi="David" w:cs="David"/>
          <w:sz w:val="24"/>
          <w:szCs w:val="24"/>
          <w:rtl/>
        </w:rPr>
      </w:pPr>
      <w:r>
        <w:rPr>
          <w:rFonts w:ascii="David" w:hAnsi="David" w:cs="David"/>
          <w:sz w:val="24"/>
          <w:szCs w:val="24"/>
          <w:rtl/>
        </w:rPr>
        <w:t xml:space="preserve">ש.: </w:t>
      </w:r>
      <w:r>
        <w:rPr>
          <w:rFonts w:ascii="David" w:hAnsi="David" w:cs="David"/>
          <w:sz w:val="24"/>
          <w:szCs w:val="24"/>
          <w:rtl/>
        </w:rPr>
        <w:tab/>
        <w:t>נכון"</w:t>
      </w:r>
    </w:p>
    <w:p w:rsidR="00C812D4" w:rsidP="00932A9D" w:rsidRDefault="00932A9D">
      <w:pPr>
        <w:pStyle w:val="ad"/>
        <w:numPr>
          <w:ilvl w:val="0"/>
          <w:numId w:val="1"/>
        </w:numPr>
        <w:spacing w:before="240"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ב</w:t>
      </w:r>
      <w:r w:rsidR="0072151B">
        <w:rPr>
          <w:rFonts w:ascii="David" w:hAnsi="David" w:cs="David"/>
          <w:sz w:val="24"/>
          <w:szCs w:val="24"/>
          <w:rtl/>
        </w:rPr>
        <w:t xml:space="preserve">עמ' 56, שורות 18-36 </w:t>
      </w:r>
      <w:r w:rsidR="0072151B">
        <w:rPr>
          <w:rFonts w:hint="cs" w:ascii="David" w:hAnsi="David" w:cs="David"/>
          <w:sz w:val="24"/>
          <w:szCs w:val="24"/>
          <w:rtl/>
        </w:rPr>
        <w:t>לפרוט</w:t>
      </w:r>
      <w:r w:rsidR="00DD43F3">
        <w:rPr>
          <w:rFonts w:hint="cs" w:ascii="David" w:hAnsi="David" w:cs="David"/>
          <w:sz w:val="24"/>
          <w:szCs w:val="24"/>
          <w:rtl/>
        </w:rPr>
        <w:t>ו</w:t>
      </w:r>
      <w:r w:rsidR="0072151B">
        <w:rPr>
          <w:rFonts w:hint="cs" w:ascii="David" w:hAnsi="David" w:cs="David"/>
          <w:sz w:val="24"/>
          <w:szCs w:val="24"/>
          <w:rtl/>
        </w:rPr>
        <w:t>קול מיום 23.</w:t>
      </w:r>
      <w:r w:rsidR="00DD43F3">
        <w:rPr>
          <w:rFonts w:hint="cs" w:ascii="David" w:hAnsi="David" w:cs="David"/>
          <w:sz w:val="24"/>
          <w:szCs w:val="24"/>
          <w:rtl/>
        </w:rPr>
        <w:t xml:space="preserve">10.2025 </w:t>
      </w:r>
      <w:r w:rsidR="00C812D4">
        <w:rPr>
          <w:rFonts w:ascii="David" w:hAnsi="David" w:cs="David"/>
          <w:sz w:val="24"/>
          <w:szCs w:val="24"/>
          <w:rtl/>
        </w:rPr>
        <w:t>א</w:t>
      </w:r>
      <w:r w:rsidR="0072151B">
        <w:rPr>
          <w:rFonts w:hint="cs" w:ascii="David" w:hAnsi="David" w:cs="David"/>
          <w:sz w:val="24"/>
          <w:szCs w:val="24"/>
          <w:rtl/>
        </w:rPr>
        <w:t>י</w:t>
      </w:r>
      <w:r w:rsidR="00C812D4">
        <w:rPr>
          <w:rFonts w:ascii="David" w:hAnsi="David" w:cs="David"/>
          <w:sz w:val="24"/>
          <w:szCs w:val="24"/>
          <w:rtl/>
        </w:rPr>
        <w:t xml:space="preserve">שר </w:t>
      </w:r>
      <w:r>
        <w:rPr>
          <w:rFonts w:hint="cs" w:ascii="David" w:hAnsi="David" w:cs="David"/>
          <w:sz w:val="24"/>
          <w:szCs w:val="24"/>
          <w:rtl/>
        </w:rPr>
        <w:t xml:space="preserve">מנהל התובעת </w:t>
      </w:r>
      <w:r w:rsidR="0072151B">
        <w:rPr>
          <w:rFonts w:hint="cs" w:ascii="David" w:hAnsi="David" w:cs="David"/>
          <w:sz w:val="24"/>
          <w:szCs w:val="24"/>
          <w:rtl/>
        </w:rPr>
        <w:t xml:space="preserve">בעדותו </w:t>
      </w:r>
      <w:r>
        <w:rPr>
          <w:rFonts w:hint="cs" w:ascii="David" w:hAnsi="David" w:cs="David"/>
          <w:sz w:val="24"/>
          <w:szCs w:val="24"/>
          <w:rtl/>
        </w:rPr>
        <w:t xml:space="preserve">כי </w:t>
      </w:r>
      <w:r w:rsidR="00C812D4">
        <w:rPr>
          <w:rFonts w:ascii="David" w:hAnsi="David" w:cs="David"/>
          <w:sz w:val="24"/>
          <w:szCs w:val="24"/>
          <w:rtl/>
        </w:rPr>
        <w:t>כאשר קיבלה התובעת את האורכה, "נוצרה בעיה חדשה" בנו</w:t>
      </w:r>
      <w:r>
        <w:rPr>
          <w:rFonts w:hint="cs" w:ascii="David" w:hAnsi="David" w:cs="David"/>
          <w:sz w:val="24"/>
          <w:szCs w:val="24"/>
          <w:rtl/>
        </w:rPr>
        <w:t>ג</w:t>
      </w:r>
      <w:r w:rsidR="00C812D4">
        <w:rPr>
          <w:rFonts w:ascii="David" w:hAnsi="David" w:cs="David"/>
          <w:sz w:val="24"/>
          <w:szCs w:val="24"/>
          <w:rtl/>
        </w:rPr>
        <w:t>ע להצמדה.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האישור שניתן לתובעת על ידי משרד הבינוי והשיכון להארכת מועד השלמת הבנייה ומסירת הדירות לרוכשים, היה מבוסס על המידע שנמסר למשרד מהחברה הכלכלית בדבר השלמת מסירת שני המגרשים. בהיבט זה, קיימת לתובעת גם מניעות מהעלאת הטענה</w:t>
      </w:r>
      <w:r w:rsidR="00932A9D">
        <w:rPr>
          <w:rFonts w:hint="cs" w:ascii="David" w:hAnsi="David" w:cs="David"/>
          <w:sz w:val="24"/>
          <w:szCs w:val="24"/>
          <w:rtl/>
        </w:rPr>
        <w:t>,</w:t>
      </w:r>
      <w:r>
        <w:rPr>
          <w:rFonts w:ascii="David" w:hAnsi="David" w:cs="David"/>
          <w:sz w:val="24"/>
          <w:szCs w:val="24"/>
          <w:rtl/>
        </w:rPr>
        <w:t xml:space="preserve"> שעה שקיבלה אורכה משמעותית להשלמת הבניה, על בסיס הנתונים שהיו בפני משרד הבינוי והשיכון ומבלי שהבהירה קיומה של טענה </w:t>
      </w:r>
      <w:r w:rsidR="001F470C">
        <w:rPr>
          <w:rFonts w:hint="cs" w:ascii="David" w:hAnsi="David" w:cs="David"/>
          <w:sz w:val="24"/>
          <w:szCs w:val="24"/>
          <w:rtl/>
        </w:rPr>
        <w:t xml:space="preserve">מצידה </w:t>
      </w:r>
      <w:r>
        <w:rPr>
          <w:rFonts w:ascii="David" w:hAnsi="David" w:cs="David"/>
          <w:sz w:val="24"/>
          <w:szCs w:val="24"/>
          <w:rtl/>
        </w:rPr>
        <w:t>כאילו המגרש כלל לא הועמד לרשותה.</w:t>
      </w:r>
    </w:p>
    <w:p w:rsidR="00C812D4" w:rsidP="001F470C" w:rsidRDefault="001F470C">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יש לראות את העלאת הטענה על ידי התובעת,</w:t>
      </w:r>
      <w:r w:rsidR="00C812D4">
        <w:rPr>
          <w:rFonts w:ascii="David" w:hAnsi="David" w:cs="David"/>
          <w:sz w:val="24"/>
          <w:szCs w:val="24"/>
          <w:rtl/>
        </w:rPr>
        <w:t xml:space="preserve"> כאילו לא קיבלה את המגרש</w:t>
      </w:r>
      <w:r w:rsidR="00DD43F3">
        <w:rPr>
          <w:rFonts w:hint="cs" w:ascii="David" w:hAnsi="David" w:cs="David"/>
          <w:sz w:val="24"/>
          <w:szCs w:val="24"/>
          <w:rtl/>
        </w:rPr>
        <w:t>,</w:t>
      </w:r>
      <w:r w:rsidR="00C812D4">
        <w:rPr>
          <w:rFonts w:ascii="David" w:hAnsi="David" w:cs="David"/>
          <w:sz w:val="24"/>
          <w:szCs w:val="24"/>
          <w:rtl/>
        </w:rPr>
        <w:t xml:space="preserve"> </w:t>
      </w:r>
      <w:r>
        <w:rPr>
          <w:rFonts w:hint="cs" w:ascii="David" w:hAnsi="David" w:cs="David"/>
          <w:sz w:val="24"/>
          <w:szCs w:val="24"/>
          <w:rtl/>
        </w:rPr>
        <w:t>וניסיונה</w:t>
      </w:r>
      <w:r w:rsidR="00C812D4">
        <w:rPr>
          <w:rFonts w:ascii="David" w:hAnsi="David" w:cs="David"/>
          <w:sz w:val="24"/>
          <w:szCs w:val="24"/>
          <w:rtl/>
        </w:rPr>
        <w:t xml:space="preserve"> </w:t>
      </w:r>
      <w:r>
        <w:rPr>
          <w:rFonts w:hint="cs" w:ascii="David" w:hAnsi="David" w:cs="David"/>
          <w:sz w:val="24"/>
          <w:szCs w:val="24"/>
          <w:rtl/>
        </w:rPr>
        <w:t>להיתלות ב</w:t>
      </w:r>
      <w:r w:rsidR="00C812D4">
        <w:rPr>
          <w:rFonts w:ascii="David" w:hAnsi="David" w:cs="David"/>
          <w:sz w:val="24"/>
          <w:szCs w:val="24"/>
          <w:rtl/>
        </w:rPr>
        <w:t>טענה ל</w:t>
      </w:r>
      <w:r>
        <w:rPr>
          <w:rFonts w:hint="cs" w:ascii="David" w:hAnsi="David" w:cs="David"/>
          <w:sz w:val="24"/>
          <w:szCs w:val="24"/>
          <w:rtl/>
        </w:rPr>
        <w:t xml:space="preserve">העדר </w:t>
      </w:r>
      <w:r w:rsidR="00C812D4">
        <w:rPr>
          <w:rFonts w:ascii="David" w:hAnsi="David" w:cs="David"/>
          <w:sz w:val="24"/>
          <w:szCs w:val="24"/>
          <w:rtl/>
        </w:rPr>
        <w:t xml:space="preserve">ביצוע אקט פורמלי של מסירה, </w:t>
      </w:r>
      <w:r>
        <w:rPr>
          <w:rFonts w:hint="cs" w:ascii="David" w:hAnsi="David" w:cs="David"/>
          <w:sz w:val="24"/>
          <w:szCs w:val="24"/>
          <w:rtl/>
        </w:rPr>
        <w:t xml:space="preserve">גם על רקע העובדה </w:t>
      </w:r>
      <w:r w:rsidR="00C812D4">
        <w:rPr>
          <w:rFonts w:ascii="David" w:hAnsi="David" w:cs="David"/>
          <w:sz w:val="24"/>
          <w:szCs w:val="24"/>
          <w:rtl/>
        </w:rPr>
        <w:t>שהיא עצמה היתה מצויה באותו שלב בהפרת התחייבותה לקבלת היתר בנייה במועד, ונוכח ידיעתה כי מועד קבלת המגרש יכול לשמש נגדה כבסיס לטענה להפרה באי השלמת העבודות בתוך 24 חודשים.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מהעדויות והראיות עולה כי התובעת החלה לקדם הליכי תכנון מורכבים לשם הגדלת זכויות הבנייה במגרש עוד בחודש אוקטובר 2018, ואלו היו הגורם העיקרי לעיכובים. התובעת הגישה בקשה הכוללת הקלות רבות ושימושים נוספים, לרבות הגדלת מספר יחידות הדיור.</w:t>
      </w:r>
    </w:p>
    <w:p w:rsidR="00C812D4" w:rsidP="00045484" w:rsidRDefault="001F470C">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התמונה הכוללת שעלתה מהראיות מצביעה על כך ש</w:t>
      </w:r>
      <w:r w:rsidR="00C812D4">
        <w:rPr>
          <w:rFonts w:ascii="David" w:hAnsi="David" w:cs="David"/>
          <w:sz w:val="24"/>
          <w:szCs w:val="24"/>
          <w:rtl/>
        </w:rPr>
        <w:t>התובעת עצמה גרמה לעיכובים בכריתת הסכמי המכר</w:t>
      </w:r>
      <w:r>
        <w:rPr>
          <w:rFonts w:hint="cs" w:ascii="David" w:hAnsi="David" w:cs="David"/>
          <w:sz w:val="24"/>
          <w:szCs w:val="24"/>
          <w:rtl/>
        </w:rPr>
        <w:t>, נוכח שיקולים שלה</w:t>
      </w:r>
      <w:r w:rsidR="00DD43F3">
        <w:rPr>
          <w:rFonts w:hint="cs" w:ascii="David" w:hAnsi="David" w:cs="David"/>
          <w:sz w:val="24"/>
          <w:szCs w:val="24"/>
          <w:rtl/>
        </w:rPr>
        <w:t>, ומכל מקום עולה מהראיות כי מועד מסירת המגרש לא היה חלק מהנסיבות לעיכוב בהליכי התכנון והבנייה</w:t>
      </w:r>
      <w:r w:rsidR="00C812D4">
        <w:rPr>
          <w:rFonts w:ascii="David" w:hAnsi="David" w:cs="David"/>
          <w:sz w:val="24"/>
          <w:szCs w:val="24"/>
          <w:rtl/>
        </w:rPr>
        <w:t>.</w:t>
      </w:r>
    </w:p>
    <w:p w:rsidR="00C812D4" w:rsidP="00DC0035" w:rsidRDefault="00DD43F3">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כך למשל, כאשר התובעת נמצאה בהפרה ונשקל חילוט ערבותה, </w:t>
      </w:r>
      <w:r w:rsidR="00C812D4">
        <w:rPr>
          <w:rFonts w:ascii="David" w:hAnsi="David" w:cs="David"/>
          <w:sz w:val="24"/>
          <w:szCs w:val="24"/>
          <w:rtl/>
        </w:rPr>
        <w:t>התובעת הגישה מכתב התנגדות לחילוט ערבות הביצוע ביום 19.9.2021, ובו העלתה טענות רבות</w:t>
      </w:r>
      <w:r>
        <w:rPr>
          <w:rFonts w:hint="cs" w:ascii="David" w:hAnsi="David" w:cs="David"/>
          <w:sz w:val="24"/>
          <w:szCs w:val="24"/>
          <w:rtl/>
        </w:rPr>
        <w:t>,</w:t>
      </w:r>
      <w:r w:rsidR="00C812D4">
        <w:rPr>
          <w:rFonts w:ascii="David" w:hAnsi="David" w:cs="David"/>
          <w:sz w:val="24"/>
          <w:szCs w:val="24"/>
          <w:rtl/>
        </w:rPr>
        <w:t xml:space="preserve"> שאינן קשורות למועד מסירת המגרש</w:t>
      </w:r>
      <w:r>
        <w:rPr>
          <w:rFonts w:hint="cs" w:ascii="David" w:hAnsi="David" w:cs="David"/>
          <w:sz w:val="24"/>
          <w:szCs w:val="24"/>
          <w:rtl/>
        </w:rPr>
        <w:t>,</w:t>
      </w:r>
      <w:r w:rsidR="00C812D4">
        <w:rPr>
          <w:rFonts w:ascii="David" w:hAnsi="David" w:cs="David"/>
          <w:sz w:val="24"/>
          <w:szCs w:val="24"/>
          <w:rtl/>
        </w:rPr>
        <w:t xml:space="preserve"> כסיבות לעיכובים.</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סיכום - מועד מסירת המגרש בפועל</w:t>
      </w:r>
    </w:p>
    <w:p w:rsidR="00C812D4" w:rsidP="00045484"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על מנת לקבוע מה היה מועד המסירה בפועל, </w:t>
      </w:r>
      <w:r w:rsidR="00045484">
        <w:rPr>
          <w:rFonts w:hint="cs" w:ascii="David" w:hAnsi="David" w:cs="David"/>
          <w:sz w:val="24"/>
          <w:szCs w:val="24"/>
          <w:rtl/>
        </w:rPr>
        <w:t>נבחנה השאלה</w:t>
      </w:r>
      <w:r>
        <w:rPr>
          <w:rFonts w:ascii="David" w:hAnsi="David" w:cs="David"/>
          <w:sz w:val="24"/>
          <w:szCs w:val="24"/>
          <w:rtl/>
        </w:rPr>
        <w:t xml:space="preserve"> מהו המועד בו התובעת השלימה להלכה ולמעשה עם העובדה שהאתר מצוי בחזקתה, ועמדה לה הזכות לה</w:t>
      </w:r>
      <w:r w:rsidR="00A009B2">
        <w:rPr>
          <w:rFonts w:hint="cs" w:ascii="David" w:hAnsi="David" w:cs="David"/>
          <w:sz w:val="24"/>
          <w:szCs w:val="24"/>
          <w:rtl/>
        </w:rPr>
        <w:t>י</w:t>
      </w:r>
      <w:r>
        <w:rPr>
          <w:rFonts w:ascii="David" w:hAnsi="David" w:cs="David"/>
          <w:sz w:val="24"/>
          <w:szCs w:val="24"/>
          <w:rtl/>
        </w:rPr>
        <w:t>כנס למגרש ולעשות בו שימוש כפי רצונה.</w:t>
      </w:r>
    </w:p>
    <w:p w:rsidR="00C812D4" w:rsidP="00045484"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בחינת העדויות והראיות </w:t>
      </w:r>
      <w:r w:rsidR="00045484">
        <w:rPr>
          <w:rFonts w:hint="cs" w:ascii="David" w:hAnsi="David" w:cs="David"/>
          <w:sz w:val="24"/>
          <w:szCs w:val="24"/>
          <w:rtl/>
        </w:rPr>
        <w:t>העלתה</w:t>
      </w:r>
      <w:r>
        <w:rPr>
          <w:rFonts w:ascii="David" w:hAnsi="David" w:cs="David"/>
          <w:sz w:val="24"/>
          <w:szCs w:val="24"/>
          <w:rtl/>
        </w:rPr>
        <w:t xml:space="preserve"> כי במהלך חודש ינואר 2019 כבר הועמד המגרש בפועל לרשות התובעת, לאחר שגם ערימת העפר (שנותרה בשלב קודם בשולי המגרש) כבר פונתה. התובעת ידעה היטב כי המגרש עומד לרשותה וכי ערימת העפר אכן פונתה, שכן מדובר כאמור בשני מגרשים סמוכים, מגרש 13 ומגרש 14. כמפורט לעיל, המגרש הסמוך, מגרש 13, כבר נמסר עוד קודם לכן ומאז אנשי התובעת כבר היו במקום. </w:t>
      </w:r>
    </w:p>
    <w:p w:rsidR="00C812D4" w:rsidP="00A009B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שתקה במשך תקופה ארוכה</w:t>
      </w:r>
      <w:r w:rsidR="00A009B2">
        <w:rPr>
          <w:rFonts w:hint="cs" w:ascii="David" w:hAnsi="David" w:cs="David"/>
          <w:sz w:val="24"/>
          <w:szCs w:val="24"/>
          <w:rtl/>
        </w:rPr>
        <w:t xml:space="preserve"> ביחס למסירת המגרש לידיה</w:t>
      </w:r>
      <w:r>
        <w:rPr>
          <w:rFonts w:ascii="David" w:hAnsi="David" w:cs="David"/>
          <w:sz w:val="24"/>
          <w:szCs w:val="24"/>
          <w:rtl/>
        </w:rPr>
        <w:t>, מאחר ש</w:t>
      </w:r>
      <w:r w:rsidR="00A009B2">
        <w:rPr>
          <w:rFonts w:hint="cs" w:ascii="David" w:hAnsi="David" w:cs="David"/>
          <w:sz w:val="24"/>
          <w:szCs w:val="24"/>
          <w:rtl/>
        </w:rPr>
        <w:t xml:space="preserve">היא </w:t>
      </w:r>
      <w:r>
        <w:rPr>
          <w:rFonts w:ascii="David" w:hAnsi="David" w:cs="David"/>
          <w:sz w:val="24"/>
          <w:szCs w:val="24"/>
          <w:rtl/>
        </w:rPr>
        <w:t xml:space="preserve">עצמה </w:t>
      </w:r>
      <w:r w:rsidR="00A009B2">
        <w:rPr>
          <w:rFonts w:hint="cs" w:ascii="David" w:hAnsi="David" w:cs="David"/>
          <w:sz w:val="24"/>
          <w:szCs w:val="24"/>
          <w:rtl/>
        </w:rPr>
        <w:t xml:space="preserve">היתה מצויה בהפרה של </w:t>
      </w:r>
      <w:r>
        <w:rPr>
          <w:rFonts w:ascii="David" w:hAnsi="David" w:cs="David"/>
          <w:sz w:val="24"/>
          <w:szCs w:val="24"/>
          <w:rtl/>
        </w:rPr>
        <w:t>ההסכם</w:t>
      </w:r>
      <w:r w:rsidR="00D76E54">
        <w:rPr>
          <w:rFonts w:hint="cs" w:ascii="David" w:hAnsi="David" w:cs="David"/>
          <w:sz w:val="24"/>
          <w:szCs w:val="24"/>
          <w:rtl/>
        </w:rPr>
        <w:t>,</w:t>
      </w:r>
      <w:r>
        <w:rPr>
          <w:rFonts w:ascii="David" w:hAnsi="David" w:cs="David"/>
          <w:sz w:val="24"/>
          <w:szCs w:val="24"/>
          <w:rtl/>
        </w:rPr>
        <w:t xml:space="preserve"> </w:t>
      </w:r>
      <w:r w:rsidR="00A009B2">
        <w:rPr>
          <w:rFonts w:hint="cs" w:ascii="David" w:hAnsi="David" w:cs="David"/>
          <w:sz w:val="24"/>
          <w:szCs w:val="24"/>
          <w:rtl/>
        </w:rPr>
        <w:t xml:space="preserve">שעה </w:t>
      </w:r>
      <w:r w:rsidR="00D76E54">
        <w:rPr>
          <w:rFonts w:hint="cs" w:ascii="David" w:hAnsi="David" w:cs="David"/>
          <w:sz w:val="24"/>
          <w:szCs w:val="24"/>
          <w:rtl/>
        </w:rPr>
        <w:t>ש</w:t>
      </w:r>
      <w:r w:rsidR="00A009B2">
        <w:rPr>
          <w:rFonts w:hint="cs" w:ascii="David" w:hAnsi="David" w:cs="David"/>
          <w:sz w:val="24"/>
          <w:szCs w:val="24"/>
          <w:rtl/>
        </w:rPr>
        <w:t>לא</w:t>
      </w:r>
      <w:r>
        <w:rPr>
          <w:rFonts w:ascii="David" w:hAnsi="David" w:cs="David"/>
          <w:sz w:val="24"/>
          <w:szCs w:val="24"/>
          <w:rtl/>
        </w:rPr>
        <w:t xml:space="preserve"> עמדה במועד לקבלת היתר בנייה, ול</w:t>
      </w:r>
      <w:r w:rsidR="00A009B2">
        <w:rPr>
          <w:rFonts w:hint="cs" w:ascii="David" w:hAnsi="David" w:cs="David"/>
          <w:sz w:val="24"/>
          <w:szCs w:val="24"/>
          <w:rtl/>
        </w:rPr>
        <w:t>מעשה באותו שלב ל</w:t>
      </w:r>
      <w:r>
        <w:rPr>
          <w:rFonts w:ascii="David" w:hAnsi="David" w:cs="David"/>
          <w:sz w:val="24"/>
          <w:szCs w:val="24"/>
          <w:rtl/>
        </w:rPr>
        <w:t xml:space="preserve">א היתה מעוניינת לפעול במגרש שכבר נמסר לחזקתה. </w:t>
      </w:r>
    </w:p>
    <w:p w:rsidR="00C812D4" w:rsidP="00EC4196"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מעת שהתקבל </w:t>
      </w:r>
      <w:r w:rsidR="00045484">
        <w:rPr>
          <w:rFonts w:hint="cs" w:ascii="David" w:hAnsi="David" w:cs="David"/>
          <w:sz w:val="24"/>
          <w:szCs w:val="24"/>
          <w:rtl/>
        </w:rPr>
        <w:t xml:space="preserve">אצל התובעת </w:t>
      </w:r>
      <w:r>
        <w:rPr>
          <w:rFonts w:ascii="David" w:hAnsi="David" w:cs="David"/>
          <w:sz w:val="24"/>
          <w:szCs w:val="24"/>
          <w:rtl/>
        </w:rPr>
        <w:t>מכתבו של המהנדס לבינר מיום 18.3.2019 אזי ניתן לומר בוודאות מלאה, כי התובעת שוב</w:t>
      </w:r>
      <w:r w:rsidR="00D76E54">
        <w:rPr>
          <w:rFonts w:hint="cs" w:ascii="David" w:hAnsi="David" w:cs="David"/>
          <w:sz w:val="24"/>
          <w:szCs w:val="24"/>
          <w:rtl/>
        </w:rPr>
        <w:t>,</w:t>
      </w:r>
      <w:r w:rsidR="00EC4196">
        <w:rPr>
          <w:rFonts w:hint="cs" w:ascii="David" w:hAnsi="David" w:cs="David"/>
          <w:sz w:val="24"/>
          <w:szCs w:val="24"/>
          <w:rtl/>
        </w:rPr>
        <w:t xml:space="preserve"> </w:t>
      </w:r>
      <w:r>
        <w:rPr>
          <w:rFonts w:ascii="David" w:hAnsi="David" w:cs="David"/>
          <w:sz w:val="24"/>
          <w:szCs w:val="24"/>
          <w:rtl/>
        </w:rPr>
        <w:t>לא יכולה היתה לטעון כאילו היא סבורה שהמגרש טרם נמסר ל</w:t>
      </w:r>
      <w:r w:rsidR="00045484">
        <w:rPr>
          <w:rFonts w:hint="cs" w:ascii="David" w:hAnsi="David" w:cs="David"/>
          <w:sz w:val="24"/>
          <w:szCs w:val="24"/>
          <w:rtl/>
        </w:rPr>
        <w:t>ה</w:t>
      </w:r>
      <w:r>
        <w:rPr>
          <w:rFonts w:ascii="David" w:hAnsi="David" w:cs="David"/>
          <w:sz w:val="24"/>
          <w:szCs w:val="24"/>
          <w:rtl/>
        </w:rPr>
        <w:t xml:space="preserve">. כלומר, לא זו בלבד שהמגרש אכן נמסר לחזקתה בפועל במהלך חודש ינואר 2019, הרי שגם טענתה כאילו סברה שעליה להמתין לזימון נוסף לביצוע מסירה, נסתרת באופן מלא בעת שהתקבל מכתבו של המהנדס לבינר המבהיר כי </w:t>
      </w:r>
      <w:r w:rsidR="00DC0035">
        <w:rPr>
          <w:rFonts w:hint="cs" w:ascii="David" w:hAnsi="David" w:cs="David"/>
          <w:sz w:val="24"/>
          <w:szCs w:val="24"/>
          <w:rtl/>
        </w:rPr>
        <w:t xml:space="preserve">מבחינת הרשויות </w:t>
      </w:r>
      <w:r>
        <w:rPr>
          <w:rFonts w:ascii="David" w:hAnsi="David" w:cs="David"/>
          <w:sz w:val="24"/>
          <w:szCs w:val="24"/>
          <w:rtl/>
        </w:rPr>
        <w:t>המגרש כבר נמסר לתובעת והיתה כבר צריכה לקדם הבנייה עליו.</w:t>
      </w:r>
    </w:p>
    <w:p w:rsidR="00C812D4" w:rsidP="00045484"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 xml:space="preserve">לכאורה היה מקום לקבוע את מועד המסירה של מגרש 14 לפי המועד שבו נמסר לה המגרש בפועל והיא קיבלה את החזקה במגרש כשהוא פנוי, היינו בחודש ינואר 2019, אולם למען הסר ספק, נוכח היתלות התובעת בטענה לפיה המתינה כביכול לזימון למפגש מסירה נוסף, </w:t>
      </w:r>
      <w:r w:rsidR="00045484">
        <w:rPr>
          <w:rFonts w:hint="cs" w:ascii="David" w:hAnsi="David" w:cs="David"/>
          <w:sz w:val="24"/>
          <w:szCs w:val="24"/>
          <w:rtl/>
        </w:rPr>
        <w:t>יש</w:t>
      </w:r>
      <w:r>
        <w:rPr>
          <w:rFonts w:ascii="David" w:hAnsi="David" w:cs="David"/>
          <w:sz w:val="24"/>
          <w:szCs w:val="24"/>
          <w:rtl/>
        </w:rPr>
        <w:t xml:space="preserve"> לראות במועד קבלת מכתבו של המהנדס לבינר, ביום 18.3.2019 כמועד בו כבר לא קיים כל ספק בדבר מסירת המגרש.   </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העלאת הטענה להעדר מסירה – חוסר תום לב מצד התובעת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מעדות מנהל התובעת בחקירתו הנגדית עלה כי גם לתובעת היה ברור כי המגרש אכן נמסר לה, אולם היא לא היתה מעוניינת לפעול במגרש לקידום הבנייה נוכח התלבטות ביחס לכדאיות הכלכלית של הפרויקט ובשאלה האם התובעת מעוניינת לקדם הפרויקט או שמא ברצונה לסגת ממנו. נושא מסירת המגרש כלל לא העסיק את התובעת, שכאמור המגרש כבר הועבר לחזקתה בפועל, אלא נושאים אחרים הקשורים להרחבת הבניה ולקבלת אישור לדחיית המועד מסירת הדירות. </w:t>
      </w:r>
    </w:p>
    <w:p w:rsidR="00C812D4" w:rsidP="00DC0035"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רק כאשר קיבלה התובעת את האישור לדחייה, ולפיכך התקבלה אצלה ההחלטה להמשיך בפרויקט כפי המתחייב, הבינה התובעת כי אחד ההיבטים הנובעים מהעיכוב הממושך בקידום הפרויקט, אש</w:t>
      </w:r>
      <w:r w:rsidR="00DC0035">
        <w:rPr>
          <w:rFonts w:ascii="David" w:hAnsi="David" w:cs="David"/>
          <w:sz w:val="24"/>
          <w:szCs w:val="24"/>
          <w:rtl/>
        </w:rPr>
        <w:t>ר היה נעוץ בה בלבד, נוגע ל</w:t>
      </w:r>
      <w:r w:rsidR="00DC0035">
        <w:rPr>
          <w:rFonts w:hint="cs" w:ascii="David" w:hAnsi="David" w:cs="David"/>
          <w:sz w:val="24"/>
          <w:szCs w:val="24"/>
          <w:rtl/>
        </w:rPr>
        <w:t xml:space="preserve">מנגנון ההצמדה. </w:t>
      </w:r>
      <w:r>
        <w:rPr>
          <w:rFonts w:ascii="David" w:hAnsi="David" w:cs="David"/>
          <w:sz w:val="24"/>
          <w:szCs w:val="24"/>
          <w:rtl/>
        </w:rPr>
        <w:t>בשלב זה, החליטה התובעת להיאחז בטענה פורמלית, לפיה לא נערך פרוטוקול מסירה מסודר, ובהתאם ל</w:t>
      </w:r>
      <w:r w:rsidR="00D76E54">
        <w:rPr>
          <w:rFonts w:hint="cs" w:ascii="David" w:hAnsi="David" w:cs="David"/>
          <w:sz w:val="24"/>
          <w:szCs w:val="24"/>
          <w:rtl/>
        </w:rPr>
        <w:t>כ</w:t>
      </w:r>
      <w:r>
        <w:rPr>
          <w:rFonts w:ascii="David" w:hAnsi="David" w:cs="David"/>
          <w:sz w:val="24"/>
          <w:szCs w:val="24"/>
          <w:rtl/>
        </w:rPr>
        <w:t>ך העלתה הטענה כאילו המגרש לא נמסר לה.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העלאת הטענה על ידי התובעת נעשתה בחוסר תום לב. התובעת ניסתה להיאחז בהוראות פרוצדורליות בדבר זימון למסירה וחתימה על פרוטוקול מסירה על מנת לנסות ולעוות את המציאות כפי שהתרחשה, שעה שכאמור במהלך חודש ינואר 2019 המגרש אכן הועמד לרשותה כשהוא פנוי ונקי מכל אדם או חפץ, לרבות מערימת העפר שנמצאה בשלבים קודמים בשולי המגרש.</w:t>
      </w:r>
    </w:p>
    <w:p w:rsidRPr="00937308" w:rsidR="00C812D4" w:rsidP="00751AF8" w:rsidRDefault="00F91116">
      <w:pPr>
        <w:pStyle w:val="ad"/>
        <w:spacing w:after="240" w:line="360" w:lineRule="auto"/>
        <w:ind w:left="284" w:right="-170"/>
        <w:contextualSpacing w:val="0"/>
        <w:jc w:val="both"/>
        <w:rPr>
          <w:rFonts w:ascii="David" w:hAnsi="David" w:cs="David"/>
          <w:b/>
          <w:bCs/>
          <w:sz w:val="24"/>
          <w:szCs w:val="24"/>
        </w:rPr>
      </w:pPr>
      <w:r w:rsidRPr="00937308">
        <w:rPr>
          <w:rFonts w:hint="cs" w:ascii="David" w:hAnsi="David" w:cs="David"/>
          <w:b/>
          <w:bCs/>
          <w:sz w:val="24"/>
          <w:szCs w:val="24"/>
          <w:u w:val="single"/>
          <w:rtl/>
        </w:rPr>
        <w:t>הטענות ל</w:t>
      </w:r>
      <w:r w:rsidRPr="00937308" w:rsidR="00C812D4">
        <w:rPr>
          <w:rFonts w:ascii="David" w:hAnsi="David" w:cs="David"/>
          <w:b/>
          <w:bCs/>
          <w:sz w:val="24"/>
          <w:szCs w:val="24"/>
          <w:u w:val="single"/>
          <w:rtl/>
        </w:rPr>
        <w:t>עיכוב בחתימת הסכמי המכר</w:t>
      </w:r>
    </w:p>
    <w:p w:rsidR="00C812D4" w:rsidP="0061377C"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התובעת, לאחר קבלת אישור משרד הבינוי בחודש דצמבר 2021 להארכת מועד מסירת הדירות,</w:t>
      </w:r>
      <w:r>
        <w:rPr>
          <w:rFonts w:ascii="David" w:hAnsi="David" w:cs="David"/>
          <w:sz w:val="24"/>
          <w:szCs w:val="24"/>
        </w:rPr>
        <w:t xml:space="preserve"> </w:t>
      </w:r>
      <w:r>
        <w:rPr>
          <w:rFonts w:ascii="David" w:hAnsi="David" w:cs="David"/>
          <w:sz w:val="24"/>
          <w:szCs w:val="24"/>
          <w:rtl/>
        </w:rPr>
        <w:t xml:space="preserve">המדינה מנעה את חתימת יתרת הסכמי המכר </w:t>
      </w:r>
      <w:r w:rsidR="0061377C">
        <w:rPr>
          <w:rFonts w:hint="cs" w:ascii="David" w:hAnsi="David" w:cs="David"/>
          <w:sz w:val="24"/>
          <w:szCs w:val="24"/>
          <w:rtl/>
        </w:rPr>
        <w:t xml:space="preserve">כך שאלו יכללו מנגנון הצמדה המבוסס על </w:t>
      </w:r>
      <w:r>
        <w:rPr>
          <w:rFonts w:ascii="David" w:hAnsi="David" w:cs="David"/>
          <w:sz w:val="24"/>
          <w:szCs w:val="24"/>
          <w:rtl/>
        </w:rPr>
        <w:t xml:space="preserve">מועד </w:t>
      </w:r>
      <w:r w:rsidR="0061377C">
        <w:rPr>
          <w:rFonts w:hint="cs" w:ascii="David" w:hAnsi="David" w:cs="David"/>
          <w:sz w:val="24"/>
          <w:szCs w:val="24"/>
          <w:rtl/>
        </w:rPr>
        <w:t xml:space="preserve">מסירת המגרש כפי </w:t>
      </w:r>
      <w:r>
        <w:rPr>
          <w:rFonts w:ascii="David" w:hAnsi="David" w:cs="David"/>
          <w:sz w:val="24"/>
          <w:szCs w:val="24"/>
          <w:rtl/>
        </w:rPr>
        <w:t xml:space="preserve">בקשת התובעת, בשל התעקשותה על מועדים שונים ושגויים למסירת המגרש. עמדה שגויה זו בנוגע לתקופת ההצמדה למדד תשומות הבנייה מנעה מהתובעת לחתום </w:t>
      </w:r>
      <w:r w:rsidR="0061377C">
        <w:rPr>
          <w:rFonts w:hint="cs" w:ascii="David" w:hAnsi="David" w:cs="David"/>
          <w:sz w:val="24"/>
          <w:szCs w:val="24"/>
          <w:rtl/>
        </w:rPr>
        <w:t xml:space="preserve">על </w:t>
      </w:r>
      <w:r>
        <w:rPr>
          <w:rFonts w:ascii="David" w:hAnsi="David" w:cs="David"/>
          <w:sz w:val="24"/>
          <w:szCs w:val="24"/>
          <w:rtl/>
        </w:rPr>
        <w:t>הסכמי מכר שכן היא הובילה להקטנת התמורה המגיעה לתובעת במיליוני שקלים.</w:t>
      </w:r>
    </w:p>
    <w:p w:rsidR="00265D6B" w:rsidP="00265D6B"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טוענת כי הרשויות "עצמו עיניים בחוזקה" אל מול הוכחות חותכות שהמגרש לא נמסר במועד הנטען על ידן, והמשיכו לטעון למועדי מסירה שונים ומופרכים.</w:t>
      </w:r>
    </w:p>
    <w:p w:rsidRPr="00265D6B" w:rsidR="00265D6B" w:rsidP="00265D6B"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265D6B">
        <w:rPr>
          <w:rFonts w:ascii="David" w:hAnsi="David" w:cs="David"/>
          <w:sz w:val="24"/>
          <w:szCs w:val="24"/>
          <w:rtl/>
        </w:rPr>
        <w:lastRenderedPageBreak/>
        <w:t>עוד טוענת התובעת בהקשר זה כי התנהלות זו של המדינה, יחד עם עריכת בירור רשלני, מנעה את חתימת הסכמי המכר וגרמה להגדלת פערי המדדים</w:t>
      </w:r>
      <w:r w:rsidRPr="00265D6B">
        <w:rPr>
          <w:rFonts w:ascii="David" w:hAnsi="David" w:cs="David"/>
          <w:sz w:val="24"/>
          <w:szCs w:val="24"/>
        </w:rPr>
        <w:t>.</w:t>
      </w:r>
      <w:r w:rsidRPr="00265D6B" w:rsidR="00265D6B">
        <w:rPr>
          <w:rFonts w:ascii="David" w:hAnsi="David"/>
          <w:sz w:val="24"/>
          <w:szCs w:val="24"/>
          <w:rtl/>
        </w:rPr>
        <w:t xml:space="preserve"> </w:t>
      </w:r>
      <w:r w:rsidRPr="00265D6B" w:rsidR="00265D6B">
        <w:rPr>
          <w:rFonts w:ascii="David" w:hAnsi="David" w:cs="David"/>
          <w:sz w:val="24"/>
          <w:szCs w:val="24"/>
          <w:rtl/>
        </w:rPr>
        <w:t>התובעת מציינת כי המדינה עצמה ידעה את ההשלכות הכלכליות של מועד מסירת המגרש על ההצמדה למדד ועל מחיר הדירה, אך למרות זאת, התעקשה על מועדים שגויים. התובעת נאלצה לנהל הליך משפטי כדי לקדם את חתימת ההסכמים, וכל העיכובים נגרמו באשמת הנתבעים.</w:t>
      </w:r>
    </w:p>
    <w:p w:rsidRPr="00265D6B" w:rsidR="00265D6B" w:rsidP="00265D6B" w:rsidRDefault="00265D6B">
      <w:pPr>
        <w:pStyle w:val="ad"/>
        <w:numPr>
          <w:ilvl w:val="0"/>
          <w:numId w:val="1"/>
        </w:numPr>
        <w:spacing w:after="240" w:line="360" w:lineRule="auto"/>
        <w:ind w:left="284" w:right="-170" w:hanging="454"/>
        <w:contextualSpacing w:val="0"/>
        <w:jc w:val="both"/>
        <w:rPr>
          <w:rFonts w:ascii="David" w:hAnsi="David" w:cs="David"/>
          <w:sz w:val="24"/>
          <w:szCs w:val="24"/>
          <w:rtl/>
        </w:rPr>
      </w:pPr>
      <w:r w:rsidRPr="00265D6B">
        <w:rPr>
          <w:rFonts w:ascii="David" w:hAnsi="David" w:cs="David"/>
          <w:sz w:val="24"/>
          <w:szCs w:val="24"/>
          <w:rtl/>
        </w:rPr>
        <w:t>התובעת מדגישה כי אם הרשויות היו מקבלות את עמדתה בנוגע למועד מסירת המגרש, נזק פערי המדדים היה נמנע. היא טוענת כי לא השתנה דבר במערך הראיות מאז תחילת 2022, והרשויות ידעו את המצב לאשורו.</w:t>
      </w:r>
    </w:p>
    <w:p w:rsidR="00C812D4" w:rsidP="0061377C"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טוענת גם לעיכובים נוספים שאינם באחריות התובעת (עד חודש דצמבר 2021) ובכלל ז</w:t>
      </w:r>
      <w:r w:rsidR="0061377C">
        <w:rPr>
          <w:rFonts w:hint="cs" w:ascii="David" w:hAnsi="David" w:cs="David"/>
          <w:sz w:val="24"/>
          <w:szCs w:val="24"/>
          <w:rtl/>
        </w:rPr>
        <w:t>ה</w:t>
      </w:r>
      <w:r>
        <w:rPr>
          <w:rFonts w:ascii="David" w:hAnsi="David" w:cs="David"/>
          <w:sz w:val="24"/>
          <w:szCs w:val="24"/>
          <w:rtl/>
        </w:rPr>
        <w:t xml:space="preserve"> בשל התעקשות המדינה על קיום הגרלה נוספת (עד דצמבר 2020). לטענת התובעת היא עשתה כל שביכולתה לקידום הפרויקט, אך נתקלה בביטולים רבים של זוכים (בין היתר עקב מגיפת הקורונה) ורשימת זוכים מוגבלת מהמדינה. משרד הבינוי התנגד לבקשת התובעת למכור את יתרת הדירות ללא הגרלות נוספות.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כן נטען לעיכוב בלתי סביר באישור בקשת התובעת ל</w:t>
      </w:r>
      <w:r w:rsidR="0061377C">
        <w:rPr>
          <w:rFonts w:hint="cs" w:ascii="David" w:hAnsi="David" w:cs="David"/>
          <w:sz w:val="24"/>
          <w:szCs w:val="24"/>
          <w:rtl/>
        </w:rPr>
        <w:t>ה</w:t>
      </w:r>
      <w:r>
        <w:rPr>
          <w:rFonts w:ascii="David" w:hAnsi="David" w:cs="David"/>
          <w:sz w:val="24"/>
          <w:szCs w:val="24"/>
          <w:rtl/>
        </w:rPr>
        <w:t>ארכת מועד למסירת הדירות (בחודשים דצמבר 2020 - דצמבר 2021). התובעת פנתה בחודש דצמבר 2020 בבקשה להאריך את מועד מסירת הדירות, אך משרד הבינוי סירב בתחילה. רק כשנה לאחר מכן, בחודש דצמבר 2021, אושרה בקשתה.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התובעת, העיכוב בן השנה באישור הארכת המועד נבע מהתנהלות איטית ולקויה של המדינה, אף שהבקשה נמצאה מוצדקת. עיכוב זה תרם להגדלת פערי המדדים ואינו יכול להיות מוטל על התובעת.</w:t>
      </w:r>
    </w:p>
    <w:p w:rsidR="00C812D4" w:rsidP="00265D6B" w:rsidRDefault="00265D6B">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לאחר בחינת העדויות והראיות עולה כי יש לדחות את טענותיה של התובעת, המתייחסות לעיכוב </w:t>
      </w:r>
      <w:r w:rsidR="00EC4196">
        <w:rPr>
          <w:rFonts w:hint="cs" w:ascii="David" w:hAnsi="David" w:cs="David"/>
          <w:sz w:val="24"/>
          <w:szCs w:val="24"/>
          <w:rtl/>
        </w:rPr>
        <w:t>ב</w:t>
      </w:r>
      <w:r>
        <w:rPr>
          <w:rFonts w:hint="cs" w:ascii="David" w:hAnsi="David" w:cs="David"/>
          <w:sz w:val="24"/>
          <w:szCs w:val="24"/>
          <w:rtl/>
        </w:rPr>
        <w:t>חתימת הסכמי המכר. בנוסף, יש לדחות טענות התובעת לנזקים הקשורים למועד מסירת המגרש, שכן לא נמצא שמתקיים</w:t>
      </w:r>
      <w:r w:rsidR="00C812D4">
        <w:rPr>
          <w:rFonts w:ascii="David" w:hAnsi="David" w:cs="David"/>
          <w:sz w:val="24"/>
          <w:szCs w:val="24"/>
          <w:rtl/>
        </w:rPr>
        <w:t xml:space="preserve"> קשר סיבתי בין העיכוב הנטען במסירת המגרש ובין עיכובים בהתקדמות הפרויקט או בנזקים הנטענים על ידי התובעת. </w:t>
      </w:r>
    </w:p>
    <w:p w:rsidRPr="009472A8" w:rsidR="00C812D4" w:rsidP="0009568A"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9472A8">
        <w:rPr>
          <w:rFonts w:ascii="David" w:hAnsi="David" w:cs="David"/>
          <w:sz w:val="24"/>
          <w:szCs w:val="24"/>
          <w:rtl/>
        </w:rPr>
        <w:t xml:space="preserve">מהראיות </w:t>
      </w:r>
      <w:r w:rsidR="009472A8">
        <w:rPr>
          <w:rFonts w:hint="cs" w:ascii="David" w:hAnsi="David" w:cs="David"/>
          <w:sz w:val="24"/>
          <w:szCs w:val="24"/>
          <w:rtl/>
        </w:rPr>
        <w:t xml:space="preserve">עולה </w:t>
      </w:r>
      <w:r w:rsidRPr="009472A8">
        <w:rPr>
          <w:rFonts w:ascii="David" w:hAnsi="David" w:cs="David"/>
          <w:sz w:val="24"/>
          <w:szCs w:val="24"/>
          <w:rtl/>
        </w:rPr>
        <w:t>כי בשנים 2018 ו-2019 לתובעת כלל לא היה היתר בנייה. למעשה, הסיבות לכך שהתובעת לא השלימה את מכירת כלל הדירות היו נעוצות במגפת הקורונה או בעיכובים הקשורים לתובעת עצמה.</w:t>
      </w:r>
      <w:r w:rsidRPr="009472A8" w:rsidR="009472A8">
        <w:rPr>
          <w:rFonts w:hint="cs" w:ascii="David" w:hAnsi="David" w:cs="David"/>
          <w:sz w:val="24"/>
          <w:szCs w:val="24"/>
          <w:rtl/>
        </w:rPr>
        <w:t xml:space="preserve"> </w:t>
      </w:r>
      <w:r w:rsidR="009472A8">
        <w:rPr>
          <w:rFonts w:hint="cs" w:ascii="David" w:hAnsi="David" w:cs="David"/>
          <w:sz w:val="24"/>
          <w:szCs w:val="24"/>
          <w:rtl/>
        </w:rPr>
        <w:t xml:space="preserve">כך למשל, </w:t>
      </w:r>
      <w:r w:rsidRPr="009472A8">
        <w:rPr>
          <w:rFonts w:ascii="David" w:hAnsi="David" w:cs="David"/>
          <w:sz w:val="24"/>
          <w:szCs w:val="24"/>
          <w:rtl/>
        </w:rPr>
        <w:t>עיכוב משמעותי נוצר עקב הליכי תכנון ארוכים שיזמה התובעת להגדלת זכויות בנייה.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מהעדויות והראיות שהובאו בפני בית המשפט עלה, כי במשך תקופה ארוכה נמנעה התובעת מלקדם חתימת הסכמי המכר וזאת מטעמים הקשורים אליה ועל בסיס שיקולי כדאיות.</w:t>
      </w:r>
    </w:p>
    <w:p w:rsidR="00C812D4" w:rsidP="0061377C"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בשלב מסוים, כאשר התובעת הגיעה למצב דברים בו מצאה כי יש מבחינתה כדאיות כלכלית בקידום הפרויקט, ובכלל ז</w:t>
      </w:r>
      <w:r w:rsidR="0061377C">
        <w:rPr>
          <w:rFonts w:hint="cs" w:ascii="David" w:hAnsi="David" w:cs="David"/>
          <w:sz w:val="24"/>
          <w:szCs w:val="24"/>
          <w:rtl/>
        </w:rPr>
        <w:t>ה</w:t>
      </w:r>
      <w:r>
        <w:rPr>
          <w:rFonts w:ascii="David" w:hAnsi="David" w:cs="David"/>
          <w:sz w:val="24"/>
          <w:szCs w:val="24"/>
          <w:rtl/>
        </w:rPr>
        <w:t xml:space="preserve"> לאחר שקיבלה אורכה נוספת להשלמת הבנייה, דרשה התובעת לכלול בהסכמי המכר הוראה הכוללת הצמדה מלאה למדד תשומות הבנייה, וזאת על בסיס עמדתה לפיה המגרש כלל לא נמסר לידיה ויש לראות את מועד תחילת הבנייה (חודש יוני 2020) כמועד המסירה. </w:t>
      </w:r>
    </w:p>
    <w:p w:rsidR="00C812D4" w:rsidP="00B61069"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נוכח הוראות המערכת החוזית הנוגעת לפרויקט הכלול בתכנית מחיר למשתכן, אשר לפיה</w:t>
      </w:r>
      <w:r w:rsidR="009472A8">
        <w:rPr>
          <w:rFonts w:hint="cs" w:ascii="David" w:hAnsi="David" w:cs="David"/>
          <w:sz w:val="24"/>
          <w:szCs w:val="24"/>
          <w:rtl/>
        </w:rPr>
        <w:t>ן</w:t>
      </w:r>
      <w:r>
        <w:rPr>
          <w:rFonts w:ascii="David" w:hAnsi="David" w:cs="David"/>
          <w:sz w:val="24"/>
          <w:szCs w:val="24"/>
          <w:rtl/>
        </w:rPr>
        <w:t xml:space="preserve"> נדרש אישור של משרד הבינוי</w:t>
      </w:r>
      <w:r w:rsidR="00F565EB">
        <w:rPr>
          <w:rFonts w:ascii="David" w:hAnsi="David" w:cs="David"/>
          <w:sz w:val="24"/>
          <w:szCs w:val="24"/>
          <w:rtl/>
        </w:rPr>
        <w:t xml:space="preserve"> והשיכון (באמצעות חברת הפיקוח)</w:t>
      </w:r>
      <w:r w:rsidR="00F565EB">
        <w:rPr>
          <w:rFonts w:hint="cs" w:ascii="David" w:hAnsi="David" w:cs="David"/>
          <w:sz w:val="24"/>
          <w:szCs w:val="24"/>
          <w:rtl/>
        </w:rPr>
        <w:t xml:space="preserve"> (ראו, לדוגמה: </w:t>
      </w:r>
      <w:r w:rsidRPr="00F565EB" w:rsidR="00F565EB">
        <w:rPr>
          <w:rFonts w:ascii="David" w:hAnsi="David" w:cs="David"/>
          <w:sz w:val="24"/>
          <w:szCs w:val="24"/>
          <w:rtl/>
        </w:rPr>
        <w:t>בעדות</w:t>
      </w:r>
      <w:r w:rsidR="00F565EB">
        <w:rPr>
          <w:rFonts w:hint="cs" w:ascii="David" w:hAnsi="David" w:cs="David"/>
          <w:sz w:val="24"/>
          <w:szCs w:val="24"/>
          <w:rtl/>
        </w:rPr>
        <w:t>ו של מר</w:t>
      </w:r>
      <w:r w:rsidR="00F565EB">
        <w:rPr>
          <w:rFonts w:ascii="David" w:hAnsi="David" w:cs="David"/>
          <w:sz w:val="24"/>
          <w:szCs w:val="24"/>
          <w:rtl/>
        </w:rPr>
        <w:t xml:space="preserve"> לידור לוי</w:t>
      </w:r>
      <w:r w:rsidR="00B61069">
        <w:rPr>
          <w:rFonts w:hint="cs" w:ascii="David" w:hAnsi="David" w:cs="David"/>
          <w:sz w:val="24"/>
          <w:szCs w:val="24"/>
          <w:rtl/>
        </w:rPr>
        <w:t xml:space="preserve"> בונן</w:t>
      </w:r>
      <w:r w:rsidR="00F565EB">
        <w:rPr>
          <w:rFonts w:hint="cs" w:ascii="David" w:hAnsi="David" w:cs="David"/>
          <w:sz w:val="24"/>
          <w:szCs w:val="24"/>
          <w:rtl/>
        </w:rPr>
        <w:t xml:space="preserve">, </w:t>
      </w:r>
      <w:r w:rsidRPr="00F565EB" w:rsidR="00F565EB">
        <w:rPr>
          <w:rFonts w:ascii="David" w:hAnsi="David" w:cs="David"/>
          <w:sz w:val="24"/>
          <w:szCs w:val="24"/>
          <w:rtl/>
        </w:rPr>
        <w:t>פרוטוקול</w:t>
      </w:r>
      <w:r w:rsidR="00F565EB">
        <w:rPr>
          <w:rFonts w:hint="cs" w:ascii="David" w:hAnsi="David" w:cs="David"/>
          <w:sz w:val="24"/>
          <w:szCs w:val="24"/>
          <w:rtl/>
        </w:rPr>
        <w:t xml:space="preserve"> מיום 30.</w:t>
      </w:r>
      <w:r w:rsidR="00B61069">
        <w:rPr>
          <w:rFonts w:hint="cs" w:ascii="David" w:hAnsi="David" w:cs="David"/>
          <w:sz w:val="24"/>
          <w:szCs w:val="24"/>
          <w:rtl/>
        </w:rPr>
        <w:t>10</w:t>
      </w:r>
      <w:r w:rsidR="00F565EB">
        <w:rPr>
          <w:rFonts w:hint="cs" w:ascii="David" w:hAnsi="David" w:cs="David"/>
          <w:sz w:val="24"/>
          <w:szCs w:val="24"/>
          <w:rtl/>
        </w:rPr>
        <w:t>.2025, ב</w:t>
      </w:r>
      <w:r w:rsidRPr="00F565EB" w:rsidR="00F565EB">
        <w:rPr>
          <w:rFonts w:ascii="David" w:hAnsi="David" w:cs="David"/>
          <w:sz w:val="24"/>
          <w:szCs w:val="24"/>
          <w:rtl/>
        </w:rPr>
        <w:t>עמ' 15, ש</w:t>
      </w:r>
      <w:r w:rsidR="00F565EB">
        <w:rPr>
          <w:rFonts w:hint="cs" w:ascii="David" w:hAnsi="David" w:cs="David"/>
          <w:sz w:val="24"/>
          <w:szCs w:val="24"/>
          <w:rtl/>
        </w:rPr>
        <w:t>ורות 6-25</w:t>
      </w:r>
      <w:r w:rsidRPr="00F565EB" w:rsidR="00F565EB">
        <w:rPr>
          <w:rFonts w:ascii="David" w:hAnsi="David" w:cs="David"/>
          <w:sz w:val="24"/>
          <w:szCs w:val="24"/>
          <w:rtl/>
        </w:rPr>
        <w:t>)</w:t>
      </w:r>
      <w:r w:rsidR="00F565EB">
        <w:rPr>
          <w:rFonts w:hint="cs" w:ascii="David" w:hAnsi="David" w:cs="David"/>
          <w:sz w:val="24"/>
          <w:szCs w:val="24"/>
          <w:rtl/>
        </w:rPr>
        <w:t xml:space="preserve">, </w:t>
      </w:r>
      <w:r>
        <w:rPr>
          <w:rFonts w:ascii="David" w:hAnsi="David" w:cs="David"/>
          <w:sz w:val="24"/>
          <w:szCs w:val="24"/>
          <w:rtl/>
        </w:rPr>
        <w:t xml:space="preserve">דרש משרד הבינוי והשיכון לשנות את הסכמי המכר, שכן במסגרת הבירור מול החברה הכלכלית נודע לו, כי המגרש אומנם לא נמסר לתובעת בחודש יוני 2018, כפי המידע שהועבר בתחילה, אלא רק בסוף שנת 2018.  </w:t>
      </w:r>
    </w:p>
    <w:p w:rsidR="00A16401" w:rsidP="00A16401"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A16401">
        <w:rPr>
          <w:rFonts w:ascii="David" w:hAnsi="David" w:cs="David"/>
          <w:sz w:val="24"/>
          <w:szCs w:val="24"/>
          <w:rtl/>
        </w:rPr>
        <w:t>כפי המפורט לעניין הדיון בסעד הזמני, מחלוקת זו גרמה למבוי סתום בכל הנוגע לאפשרות חתימה על הסכמי מכר, כאשר התובעת עמדה על כך שמועד מסירת המגרש היה בחודש יוני 2020 ודרשה לפיכך לקבל אישור להסכמי מכר הכוללים הצמדה מלאה למדד, אלא שמשרד הבינוי והשיכון לא אישר זאת, שעה שהמידע שהועבר לו מהחברה הכלכלית היה אחר.</w:t>
      </w:r>
      <w:r w:rsidRPr="00A16401" w:rsidR="00603B1C">
        <w:rPr>
          <w:rFonts w:hint="cs" w:ascii="David" w:hAnsi="David" w:cs="David"/>
          <w:sz w:val="24"/>
          <w:szCs w:val="24"/>
          <w:rtl/>
        </w:rPr>
        <w:t xml:space="preserve"> </w:t>
      </w:r>
      <w:r w:rsidRPr="00A16401" w:rsidR="00A16401">
        <w:rPr>
          <w:rFonts w:hint="cs" w:ascii="David" w:hAnsi="David" w:cs="David"/>
          <w:sz w:val="24"/>
          <w:szCs w:val="24"/>
          <w:rtl/>
        </w:rPr>
        <w:t>התובעת היתה זו שהתעקשה שלא לקדם חתימת הסכמי המכר כל עוד לא תתקבל עמדתה ביחס למועד מסירת המגרש ומנגנון הצמדת המחיר (העד מר לידור לוי בונן אף העיד, כי היו פניות של רוכשים למחלקת פניות הציבור בתלונה על כך שלא נחתמים עמם הסכמים, אך "</w:t>
      </w:r>
      <w:r w:rsidRPr="00A16401" w:rsidR="00A16401">
        <w:rPr>
          <w:rFonts w:ascii="David" w:hAnsi="David" w:cs="David"/>
          <w:sz w:val="24"/>
          <w:szCs w:val="24"/>
          <w:rtl/>
        </w:rPr>
        <w:t>אנחנו לא יכולים לחייב את הקבלן משהוא מסרב</w:t>
      </w:r>
      <w:r w:rsidRPr="00A16401" w:rsidR="00A16401">
        <w:rPr>
          <w:rFonts w:hint="cs" w:ascii="David" w:hAnsi="David" w:cs="David"/>
          <w:sz w:val="24"/>
          <w:szCs w:val="24"/>
          <w:rtl/>
        </w:rPr>
        <w:t>", עמ' 49, שורות 30-32).</w:t>
      </w:r>
    </w:p>
    <w:p w:rsidRPr="00A16401" w:rsidR="00A16401" w:rsidP="00F537D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A16401">
        <w:rPr>
          <w:rFonts w:ascii="David" w:hAnsi="David" w:cs="David"/>
          <w:sz w:val="24"/>
          <w:szCs w:val="24"/>
          <w:rtl/>
        </w:rPr>
        <w:t>ראוי לציין כי בכל מהלך הדברים כאמור, פעל משרד הבינוי והשיכון, כפי המצופה ממנו, לשמירה על זכויות רוכשי הדיר</w:t>
      </w:r>
      <w:r w:rsidRPr="00A16401" w:rsidR="003A37D9">
        <w:rPr>
          <w:rFonts w:hint="cs" w:ascii="David" w:hAnsi="David" w:cs="David"/>
          <w:sz w:val="24"/>
          <w:szCs w:val="24"/>
          <w:rtl/>
        </w:rPr>
        <w:t>ות</w:t>
      </w:r>
      <w:r w:rsidRPr="00A16401">
        <w:rPr>
          <w:rFonts w:ascii="David" w:hAnsi="David" w:cs="David"/>
          <w:sz w:val="24"/>
          <w:szCs w:val="24"/>
          <w:rtl/>
        </w:rPr>
        <w:t xml:space="preserve"> במסגרת תכנית מחיר למשתכן. בכלל זאת, פעל המשרד לשמירה על זכויות הרוכשים שעה שלא נתן אישורו להסכמי מכר, אשר לא תאמו את המידע שנמסר לו ביחס למועד מסירת המגרש לתובעת</w:t>
      </w:r>
      <w:r w:rsidRPr="00A16401" w:rsidR="00603B1C">
        <w:rPr>
          <w:rFonts w:ascii="David" w:hAnsi="David" w:cs="David"/>
          <w:sz w:val="24"/>
          <w:szCs w:val="24"/>
          <w:rtl/>
        </w:rPr>
        <w:t xml:space="preserve"> (ראו: </w:t>
      </w:r>
      <w:r w:rsidRPr="00A16401" w:rsidR="00A16401">
        <w:rPr>
          <w:rFonts w:ascii="David" w:hAnsi="David" w:cs="David"/>
          <w:sz w:val="24"/>
          <w:szCs w:val="24"/>
          <w:rtl/>
        </w:rPr>
        <w:t>ההסברים שניתנו ב</w:t>
      </w:r>
      <w:r w:rsidRPr="00A16401" w:rsidR="00603B1C">
        <w:rPr>
          <w:rFonts w:ascii="David" w:hAnsi="David" w:cs="David"/>
          <w:sz w:val="24"/>
          <w:szCs w:val="24"/>
          <w:rtl/>
        </w:rPr>
        <w:t>עדותו של מר לידור לוי בונן, בפרוטוקול מיום 30.11.2025</w:t>
      </w:r>
      <w:r w:rsidRPr="00A16401" w:rsidR="00A16401">
        <w:rPr>
          <w:rFonts w:ascii="David" w:hAnsi="David" w:cs="David"/>
          <w:sz w:val="24"/>
          <w:szCs w:val="24"/>
          <w:rtl/>
        </w:rPr>
        <w:t xml:space="preserve"> ובכלל זאת כאשר הבהיר: "אנחנו לא יכולים לאשר לך לגבות ביתר"</w:t>
      </w:r>
      <w:r w:rsidR="00F537DF">
        <w:rPr>
          <w:rFonts w:hint="cs" w:ascii="David" w:hAnsi="David" w:cs="David"/>
          <w:sz w:val="24"/>
          <w:szCs w:val="24"/>
          <w:rtl/>
        </w:rPr>
        <w:t>, ב</w:t>
      </w:r>
      <w:r w:rsidRPr="00A16401" w:rsidR="00A16401">
        <w:rPr>
          <w:rFonts w:ascii="David" w:hAnsi="David" w:cs="David"/>
          <w:sz w:val="24"/>
          <w:szCs w:val="24"/>
          <w:rtl/>
        </w:rPr>
        <w:t>עמ' 50, שורות 29-31).</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sidRPr="00A16401">
        <w:rPr>
          <w:rFonts w:ascii="David" w:hAnsi="David" w:cs="David"/>
          <w:sz w:val="24"/>
          <w:szCs w:val="24"/>
          <w:rtl/>
        </w:rPr>
        <w:t>בזמן אמת, נוכח המידע והנתונים שנפרשו בפני משרד הבינוי והשיכון ביחס למסירת המגרש, מידע שהתבסס בעיקרו על הדיווחים מטעם החברה הכלכלית, לא היה באפשרות משרד הבינוי והשיכון לאשר לתובעת</w:t>
      </w:r>
      <w:r>
        <w:rPr>
          <w:rFonts w:ascii="David" w:hAnsi="David" w:cs="David"/>
          <w:sz w:val="24"/>
          <w:szCs w:val="24"/>
          <w:rtl/>
        </w:rPr>
        <w:t xml:space="preserve"> את מבוקשה, בכל הנוגע לקביעת הצמדה מלאה למדד בהסכמי המכר. מתן אישור לתובעת לחתום על הסכמי מכר שלפיהם מחיר הדירה צמוד באופן מלא וללא סייג למדד, וזאת בניגוד למידע שהונח בפני המשרד לגבי נסיבות מסירת המגרש לתובעת, היה עולה כדי התנערות </w:t>
      </w:r>
      <w:r>
        <w:rPr>
          <w:rFonts w:ascii="David" w:hAnsi="David" w:cs="David"/>
          <w:sz w:val="24"/>
          <w:szCs w:val="24"/>
          <w:rtl/>
        </w:rPr>
        <w:lastRenderedPageBreak/>
        <w:t>מחובת המשרד בשמירה על זכויות רוכשי הדירות, המהווה חלק מהאינטרס הציבורי בתכנית מחיר למשתכן.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גם בדיעבד, לאחר ליבון המסכת העובדתית בנוגע לנסיב</w:t>
      </w:r>
      <w:r w:rsidR="003C2634">
        <w:rPr>
          <w:rFonts w:hint="cs" w:ascii="David" w:hAnsi="David" w:cs="David"/>
          <w:sz w:val="24"/>
          <w:szCs w:val="24"/>
          <w:rtl/>
        </w:rPr>
        <w:t>ו</w:t>
      </w:r>
      <w:r>
        <w:rPr>
          <w:rFonts w:ascii="David" w:hAnsi="David" w:cs="David"/>
          <w:sz w:val="24"/>
          <w:szCs w:val="24"/>
          <w:rtl/>
        </w:rPr>
        <w:t>ת מסירת המגרש, מסתבר כי הצדק היה עם משרד הבינוי והשיכון, שעה שלא נתן אישור להסכמי מכר כפי דרישתה של התובעת. כמפורט לעיל, דרישת התובעת לבסס את מנגנון ההצמדה בהסכמי המכר על מועד מסירה של המגרש כאילו מדובר היה בחודש יוני 2020, לא תאמה את המציאות, וכך גם עלתה כדי חוסר תום לב מצד התובעת.</w:t>
      </w:r>
    </w:p>
    <w:p w:rsidR="00C812D4" w:rsidP="001C57D1"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יש לדחות לפיכך את </w:t>
      </w:r>
      <w:r w:rsidR="009472A8">
        <w:rPr>
          <w:rFonts w:hint="cs" w:ascii="David" w:hAnsi="David" w:cs="David"/>
          <w:sz w:val="24"/>
          <w:szCs w:val="24"/>
          <w:rtl/>
        </w:rPr>
        <w:t>טענת</w:t>
      </w:r>
      <w:r w:rsidR="00DF2F75">
        <w:rPr>
          <w:rFonts w:hint="cs" w:ascii="David" w:hAnsi="David" w:cs="David"/>
          <w:sz w:val="24"/>
          <w:szCs w:val="24"/>
          <w:rtl/>
        </w:rPr>
        <w:t>ה</w:t>
      </w:r>
      <w:r w:rsidR="009472A8">
        <w:rPr>
          <w:rFonts w:hint="cs" w:ascii="David" w:hAnsi="David" w:cs="David"/>
          <w:sz w:val="24"/>
          <w:szCs w:val="24"/>
          <w:rtl/>
        </w:rPr>
        <w:t xml:space="preserve"> העיקרית של</w:t>
      </w:r>
      <w:r>
        <w:rPr>
          <w:rFonts w:ascii="David" w:hAnsi="David" w:cs="David"/>
          <w:sz w:val="24"/>
          <w:szCs w:val="24"/>
          <w:rtl/>
        </w:rPr>
        <w:t xml:space="preserve"> התובעת בכל הנוגע לעיכובים בחתימה על הסכמי המכר שכ</w:t>
      </w:r>
      <w:r w:rsidR="009472A8">
        <w:rPr>
          <w:rFonts w:hint="cs" w:ascii="David" w:hAnsi="David" w:cs="David"/>
          <w:sz w:val="24"/>
          <w:szCs w:val="24"/>
          <w:rtl/>
        </w:rPr>
        <w:t>ן</w:t>
      </w:r>
      <w:r>
        <w:rPr>
          <w:rFonts w:ascii="David" w:hAnsi="David" w:cs="David"/>
          <w:sz w:val="24"/>
          <w:szCs w:val="24"/>
          <w:rtl/>
        </w:rPr>
        <w:t xml:space="preserve"> עולה כי התובעת עצמה היא זו שגרמה לעיכובים במועד החתימה, בתחילה כתוצאה משיקוליה בנ</w:t>
      </w:r>
      <w:r w:rsidR="00DF2F75">
        <w:rPr>
          <w:rFonts w:hint="cs" w:ascii="David" w:hAnsi="David" w:cs="David"/>
          <w:sz w:val="24"/>
          <w:szCs w:val="24"/>
          <w:rtl/>
        </w:rPr>
        <w:t>ו</w:t>
      </w:r>
      <w:r>
        <w:rPr>
          <w:rFonts w:ascii="David" w:hAnsi="David" w:cs="David"/>
          <w:sz w:val="24"/>
          <w:szCs w:val="24"/>
          <w:rtl/>
        </w:rPr>
        <w:t>גע לשאלת הכדאיות הכלכלית בקידום הסכמי המכר</w:t>
      </w:r>
      <w:r w:rsidR="001C57D1">
        <w:rPr>
          <w:rFonts w:hint="cs" w:ascii="David" w:hAnsi="David" w:cs="David"/>
          <w:sz w:val="24"/>
          <w:szCs w:val="24"/>
          <w:rtl/>
        </w:rPr>
        <w:t xml:space="preserve"> ועיכובים בתכנון ובקידום הבנייה </w:t>
      </w:r>
      <w:r>
        <w:rPr>
          <w:rFonts w:ascii="David" w:hAnsi="David" w:cs="David"/>
          <w:sz w:val="24"/>
          <w:szCs w:val="24"/>
          <w:rtl/>
        </w:rPr>
        <w:t xml:space="preserve">ובהמשך כתוצאה מעמדתה (השגויה) לפיה המגרש לא נמסר לה ורצונה לקבוע את מועד המסירה </w:t>
      </w:r>
      <w:r w:rsidR="00DF2F75">
        <w:rPr>
          <w:rFonts w:hint="cs" w:ascii="David" w:hAnsi="David" w:cs="David"/>
          <w:sz w:val="24"/>
          <w:szCs w:val="24"/>
          <w:rtl/>
        </w:rPr>
        <w:t xml:space="preserve">לפי </w:t>
      </w:r>
      <w:r>
        <w:rPr>
          <w:rFonts w:ascii="David" w:hAnsi="David" w:cs="David"/>
          <w:sz w:val="24"/>
          <w:szCs w:val="24"/>
          <w:rtl/>
        </w:rPr>
        <w:t xml:space="preserve">מועד מאוחר שרירותי התואם רצונה להגיע להצמדה מלאה </w:t>
      </w:r>
      <w:r w:rsidR="00DF2F75">
        <w:rPr>
          <w:rFonts w:hint="cs" w:ascii="David" w:hAnsi="David" w:cs="David"/>
          <w:sz w:val="24"/>
          <w:szCs w:val="24"/>
          <w:rtl/>
        </w:rPr>
        <w:t xml:space="preserve">של </w:t>
      </w:r>
      <w:r>
        <w:rPr>
          <w:rFonts w:ascii="David" w:hAnsi="David" w:cs="David"/>
          <w:sz w:val="24"/>
          <w:szCs w:val="24"/>
          <w:rtl/>
        </w:rPr>
        <w:t>מחיר הדירות למדד.</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לכאורה היה מקום לדחות באופן מלא את עתירת התובעת לתוספת כלשהי של הצמדה למדד בחלוף 20 חודשים ממועד המסירה, ועד למועדים בהם נחתמו בפועל הסכמי המכר.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חרף זאת, מצאתי בכל זאת לאשר לתובעת תוספת של הצמדה למדד תשומות הבנייה, בתקופה מסוימת קודם למועדי החתימה על הסכמי המכר, וזאת לאחר גיבוש המתווה בהליך הסעד הזמני.</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כמפורט לעיל, מתווה הסעד הזמני כלל הוראה זמנית ביחס למועד מסירת המגרש (לפי חודש מרץ 2020), שלפיו ייערך חישוב ההצמדה של התמורה בהסכמי המכר שייחתמו. עם זאת הובהר לרוכשי הדירות, כי חישוב זה מהווה חישוב ביניים בלבד, וכי בהתאם להכרעה שעתידה להינתן בהליך בתיק זה, ייערך חישוב מחדש של התמורה בהתאם לתקופות ההצמדה שייקבעו בפסק הדין שיינתן.</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בחינת מתווה הסעד הזמני מלמדת, כי באותו מועד השכילו הצדדים להתגמש בעמדתם ביחס להסכמי המכר, בדרך של קביעת מועד זמני של מסירה, תוך הבהרה (אשר גם נכללת בהוראות הסכמי המכר עצמם) לפיה ההכרעה בהליך בתיק זה תוביל לחישוב מחדש של מחיר הדירה ועריכת התחשבנות מותאמת לכך. במתן ההסכמה למתווה הסעד הזמני, נסוגו הצדדים מעמדתם הנוקשה ביחס לקביעת מועד המסירה בהסכמי המכר (וכיוצא מכך בחישוב תקופות ההצמדה למדד של מחיר הדירה) ותחת זאת נתנו הסכמה לקביעת מועד זמני, שאומנם אינו מחייב ואינו סוף פסוק, אך בכל זאת איפשר את קידום חתימת הסכמי המכר.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הגם שהתובעת המשיכה לעמוד, גם לאחר גיבוש המתווה ב</w:t>
      </w:r>
      <w:r w:rsidR="00DF2F75">
        <w:rPr>
          <w:rFonts w:hint="cs" w:ascii="David" w:hAnsi="David" w:cs="David"/>
          <w:sz w:val="24"/>
          <w:szCs w:val="24"/>
          <w:rtl/>
        </w:rPr>
        <w:t>הליך ה</w:t>
      </w:r>
      <w:r>
        <w:rPr>
          <w:rFonts w:ascii="David" w:hAnsi="David" w:cs="David"/>
          <w:sz w:val="24"/>
          <w:szCs w:val="24"/>
          <w:rtl/>
        </w:rPr>
        <w:t>סעד הזמני, על עמדתה השגויה בכל הנוגע למועד מסירת המגרש, ניתן לומר כי ממועד מתן הסכמתה למתווה הסעד הזמני (הסכמה אשר כללה גם את ביטול התנאי המוקדם שהציבה עד לאותו מועד לגבי הסכמי המכר, תנאי שמנע את חתימתם), תיקנה התובעת את מחדלה שגרם לעיכוב בחתימה על הסכמי המכר.</w:t>
      </w:r>
    </w:p>
    <w:p w:rsidR="00C812D4" w:rsidP="00CB33E5"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מטעם זה, ניתן לאשר לתובעת תוספת של הצמדה למדד ביחס לתקופה שחלפה לאחר מועד גיבוש המתווה הזמני</w:t>
      </w:r>
      <w:r w:rsidR="00CB33E5">
        <w:rPr>
          <w:rFonts w:hint="cs" w:ascii="David" w:hAnsi="David" w:cs="David"/>
          <w:sz w:val="24"/>
          <w:szCs w:val="24"/>
          <w:rtl/>
        </w:rPr>
        <w:t xml:space="preserve">, </w:t>
      </w:r>
      <w:r w:rsidR="00F537DF">
        <w:rPr>
          <w:rFonts w:ascii="David" w:hAnsi="David" w:cs="David"/>
          <w:sz w:val="24"/>
          <w:szCs w:val="24"/>
          <w:rtl/>
        </w:rPr>
        <w:t>ביום 29.3.2023</w:t>
      </w:r>
      <w:r w:rsidR="00CB33E5">
        <w:rPr>
          <w:rFonts w:hint="cs" w:ascii="David" w:hAnsi="David" w:cs="David"/>
          <w:sz w:val="24"/>
          <w:szCs w:val="24"/>
          <w:rtl/>
        </w:rPr>
        <w:t xml:space="preserve">, </w:t>
      </w:r>
      <w:r>
        <w:rPr>
          <w:rFonts w:ascii="David" w:hAnsi="David" w:cs="David"/>
          <w:sz w:val="24"/>
          <w:szCs w:val="24"/>
          <w:rtl/>
        </w:rPr>
        <w:t xml:space="preserve">ועד למועדים בהם נחתמו בפועל הסכמי המכר. (במאמר מוסגר </w:t>
      </w:r>
      <w:r w:rsidR="003C2634">
        <w:rPr>
          <w:rFonts w:hint="cs" w:ascii="David" w:hAnsi="David" w:cs="David"/>
          <w:sz w:val="24"/>
          <w:szCs w:val="24"/>
          <w:rtl/>
        </w:rPr>
        <w:t>יצוין</w:t>
      </w:r>
      <w:r>
        <w:rPr>
          <w:rFonts w:ascii="David" w:hAnsi="David" w:cs="David"/>
          <w:sz w:val="24"/>
          <w:szCs w:val="24"/>
          <w:rtl/>
        </w:rPr>
        <w:t>, כי על פני הדברים יש בהכרה זו בתוספת ההצמדה, גם כדי ליצור אחידות במנגנון חישוב מחירי הדירות בין רוכשי הדירות, שלא על בסיס הבדל מקרי במועד חתימת הסכם).</w:t>
      </w:r>
    </w:p>
    <w:p w:rsidRPr="00937308" w:rsidR="00C812D4" w:rsidP="00751AF8" w:rsidRDefault="00C812D4">
      <w:pPr>
        <w:pStyle w:val="ad"/>
        <w:spacing w:after="240" w:line="360" w:lineRule="auto"/>
        <w:ind w:left="284" w:right="-170"/>
        <w:contextualSpacing w:val="0"/>
        <w:jc w:val="both"/>
        <w:rPr>
          <w:rFonts w:ascii="David" w:hAnsi="David" w:cs="David"/>
          <w:b/>
          <w:bCs/>
          <w:sz w:val="24"/>
          <w:szCs w:val="24"/>
          <w:u w:val="single"/>
        </w:rPr>
      </w:pPr>
      <w:r w:rsidRPr="00937308">
        <w:rPr>
          <w:rFonts w:ascii="David" w:hAnsi="David" w:cs="David"/>
          <w:b/>
          <w:bCs/>
          <w:sz w:val="24"/>
          <w:szCs w:val="24"/>
          <w:u w:val="single"/>
          <w:rtl/>
        </w:rPr>
        <w:t>המועד החוזי למסירת הדירות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מבקשת לקבוע כי מועד מסירת הדירות החוזי יהיה 36 חודשים מיום חתימת הסכמי המכר בפועל, בהתאם לשיקול דעתה המקצועי כקבלן. המדינה, לטענת התובעת, נטלה לעצמה סמכות לקבוע את מועד המסירה ללא מקור הסכמי, ואינה מוכנה לשאת באחריות לאיחורים.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מבקשת לקבוע כי מועד מסירת הדירות החוזי יהיה בחלוף 36 חודשים ממועד חתימת הסכמי המכר לגבי הדירות הנותרות, כפי שנתבע בכתב התביעה המתוקן. דרישה זו נובעת מכך שמשרד הבינוי אישר ביום 12.12.2021 מועד מסירה ליום 31.12.2024, המהווה כשלוש שנים ממועד האישור.</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מדגישה קשר הדוק בין מועד חתימת הסכמי המכר לבין התקדמות הבנייה, שכן חתימת הסכמים מאפשרת הזרמת מימון לפרויקט ובחירת פריטי גמר על ידי הדיירים, החיוניים לקידום העבודות. לפיכך, נוכח העיכוב בהחתמת הסכמי המכר, נדרשת התאמה של מועד המסירה כך שיעמוד לרשותה אותו פרק זמן של 36 חודשים מיום חתימת ההסכמים בפועל.</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בסיכומים מטעם התובעת, מכירה התובעת בכך שבמסגרת הדיון בסעד הזמני, המדינה כבר הסכימה לארכה נוספת עד ליום 31.12.2025, אך התובעת טוענת שמועד זה אינו סופי וכי הערכותיה מצביעות על הצורך בדחיות נוספות. לטענת התובעת, המדינה נטלה לעצמה את החירות לקבוע את מועד מסירת הדירות ולהתערב בשיקול דעתה המקצועי, למרות היעדר מקור הסכמי לכך.</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לעמדת התובעת יש להעדיף את עמדתה המקצועית, כמי שבונה את הפרויקט וחתומה על הסכמי המכר מול הדיירים, במקרה של חילוקי דעות מול המדינה.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התובעת מציינת כי הערכותיה בדוחות פיקוח מראות שמועד המסירה צפוי להיות ביום 1.5.2026, עם צפי לדחייה נוספת ליום 1.10.2026. השארת מועד המסירה ביום 31.12.2025 תחשוף אותה לתביעות נוספות בגין איחורים במסירה מצד רוכשי הדירות בסבב השני, מה שיוביל להליכים משפטיים נוספים.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לטענת התובעת, רוכשי הדירות בסבב השני התחייבו במסגרת הסכמי המכר כי הכרעת בית המשפט בהליך זה תחייב אותם, ולכן אין מניעה לקבוע את מועדי המסירה בהחלטת בית המשפט. התביעה אינה עוסקת בעיכובים מוצדקים בבנייה, אלא בחוסר סמכותה של המדינה לקבוע מועד מסירה חוזי בניגוד לעמדתה המקצועית של התובעת.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התובעת מוסיפה כי רשות מקרקעי ישראל (רמ"י) הודתה ביכולתה לאשר דחיית מועדים במסגרת ההסכמים, ולכן סירובה העיקש והבלתי מוסבר למתן ארכה מתבקשת זו אינו סביר ואין לאפשרו.</w:t>
      </w:r>
    </w:p>
    <w:p w:rsidR="004E7CAE" w:rsidP="004E7CAE" w:rsidRDefault="00AF08CB">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לאחר בחינת הראיות והעדויות עולה כי יש לדחות טענת התובעת בנושא מועד מסירת הדירות, </w:t>
      </w:r>
      <w:r w:rsidR="004E7CAE">
        <w:rPr>
          <w:rFonts w:hint="cs" w:ascii="David" w:hAnsi="David" w:cs="David"/>
          <w:sz w:val="24"/>
          <w:szCs w:val="24"/>
          <w:rtl/>
        </w:rPr>
        <w:t>בעיקר</w:t>
      </w:r>
      <w:r>
        <w:rPr>
          <w:rFonts w:hint="cs" w:ascii="David" w:hAnsi="David" w:cs="David"/>
          <w:sz w:val="24"/>
          <w:szCs w:val="24"/>
          <w:rtl/>
        </w:rPr>
        <w:t xml:space="preserve"> מחמת כך שהתובעת מנועה מלהעלות טענות המבקשות לשנות כעת את מועד מסירת הדירות, ו</w:t>
      </w:r>
      <w:r w:rsidR="004E7CAE">
        <w:rPr>
          <w:rFonts w:hint="cs" w:ascii="David" w:hAnsi="David" w:cs="David"/>
          <w:sz w:val="24"/>
          <w:szCs w:val="24"/>
          <w:rtl/>
        </w:rPr>
        <w:t xml:space="preserve">כך גם יש לדחות הטענות </w:t>
      </w:r>
      <w:r>
        <w:rPr>
          <w:rFonts w:hint="cs" w:ascii="David" w:hAnsi="David" w:cs="David"/>
          <w:sz w:val="24"/>
          <w:szCs w:val="24"/>
          <w:rtl/>
        </w:rPr>
        <w:t>לגופן.</w:t>
      </w:r>
    </w:p>
    <w:p w:rsidR="005D63A6" w:rsidP="005D63A6" w:rsidRDefault="00AF08CB">
      <w:pPr>
        <w:pStyle w:val="ad"/>
        <w:numPr>
          <w:ilvl w:val="0"/>
          <w:numId w:val="1"/>
        </w:numPr>
        <w:spacing w:after="240" w:line="360" w:lineRule="auto"/>
        <w:ind w:left="284" w:right="-170" w:hanging="454"/>
        <w:contextualSpacing w:val="0"/>
        <w:jc w:val="both"/>
        <w:rPr>
          <w:rFonts w:ascii="David" w:hAnsi="David" w:cs="David"/>
          <w:sz w:val="24"/>
          <w:szCs w:val="24"/>
        </w:rPr>
      </w:pPr>
      <w:r w:rsidRPr="004E7CAE">
        <w:rPr>
          <w:rFonts w:hint="cs" w:ascii="David" w:hAnsi="David" w:cs="David"/>
          <w:sz w:val="24"/>
          <w:szCs w:val="24"/>
          <w:rtl/>
        </w:rPr>
        <w:t xml:space="preserve">כעולה מהמפורט לעיל, </w:t>
      </w:r>
      <w:r w:rsidRPr="005D63A6" w:rsidR="005D63A6">
        <w:rPr>
          <w:rFonts w:ascii="David" w:hAnsi="David" w:cs="David"/>
          <w:sz w:val="24"/>
          <w:szCs w:val="24"/>
          <w:rtl/>
        </w:rPr>
        <w:t>התובעת פנתה פעמים רבות בבקשות להארכת מועד למסירת הדירות, מה שמלמד על הכרה בסמכות המדינה לאשר מועדים אלו</w:t>
      </w:r>
      <w:r w:rsidR="005D63A6">
        <w:rPr>
          <w:rFonts w:hint="cs" w:ascii="David" w:hAnsi="David" w:cs="David"/>
          <w:sz w:val="24"/>
          <w:szCs w:val="24"/>
          <w:rtl/>
        </w:rPr>
        <w:t>.</w:t>
      </w:r>
    </w:p>
    <w:p w:rsidRPr="004E7CAE" w:rsidR="004E7CAE" w:rsidP="005D63A6" w:rsidRDefault="005D63A6">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רשויות המדינה</w:t>
      </w:r>
      <w:r w:rsidRPr="004E7CAE" w:rsidR="00C812D4">
        <w:rPr>
          <w:rFonts w:ascii="David" w:hAnsi="David" w:cs="David"/>
          <w:sz w:val="24"/>
          <w:szCs w:val="24"/>
          <w:rtl/>
        </w:rPr>
        <w:t xml:space="preserve"> אישר</w:t>
      </w:r>
      <w:r>
        <w:rPr>
          <w:rFonts w:hint="cs" w:ascii="David" w:hAnsi="David" w:cs="David"/>
          <w:sz w:val="24"/>
          <w:szCs w:val="24"/>
          <w:rtl/>
        </w:rPr>
        <w:t>ו</w:t>
      </w:r>
      <w:r w:rsidRPr="004E7CAE" w:rsidR="00C812D4">
        <w:rPr>
          <w:rFonts w:ascii="David" w:hAnsi="David" w:cs="David"/>
          <w:sz w:val="24"/>
          <w:szCs w:val="24"/>
          <w:rtl/>
        </w:rPr>
        <w:t xml:space="preserve"> לתובעת, לפי בקשתה, מספר דחיות במועד מסירת הדירות. </w:t>
      </w:r>
      <w:r w:rsidRPr="004E7CAE" w:rsidR="00AF08CB">
        <w:rPr>
          <w:rFonts w:hint="cs" w:ascii="David" w:hAnsi="David" w:cs="David"/>
          <w:sz w:val="24"/>
          <w:szCs w:val="24"/>
          <w:rtl/>
        </w:rPr>
        <w:t>ה</w:t>
      </w:r>
      <w:r w:rsidRPr="004E7CAE" w:rsidR="00C812D4">
        <w:rPr>
          <w:rFonts w:ascii="David" w:hAnsi="David" w:cs="David"/>
          <w:sz w:val="24"/>
          <w:szCs w:val="24"/>
          <w:rtl/>
        </w:rPr>
        <w:t xml:space="preserve">מצהיר מטעם הנתבעות 1-3, </w:t>
      </w:r>
      <w:r w:rsidRPr="004E7CAE" w:rsidR="00AF08CB">
        <w:rPr>
          <w:rFonts w:ascii="David" w:hAnsi="David" w:cs="David"/>
          <w:sz w:val="24"/>
          <w:szCs w:val="24"/>
          <w:rtl/>
        </w:rPr>
        <w:t xml:space="preserve">עו"ד </w:t>
      </w:r>
      <w:r>
        <w:rPr>
          <w:rFonts w:hint="cs" w:ascii="David" w:hAnsi="David" w:cs="David"/>
          <w:sz w:val="24"/>
          <w:szCs w:val="24"/>
          <w:rtl/>
        </w:rPr>
        <w:t>לידור לוי</w:t>
      </w:r>
      <w:r w:rsidRPr="004E7CAE" w:rsidR="00AF08CB">
        <w:rPr>
          <w:rFonts w:ascii="David" w:hAnsi="David" w:cs="David"/>
          <w:sz w:val="24"/>
          <w:szCs w:val="24"/>
          <w:rtl/>
        </w:rPr>
        <w:t xml:space="preserve"> בונן, </w:t>
      </w:r>
      <w:r w:rsidRPr="004E7CAE" w:rsidR="00C812D4">
        <w:rPr>
          <w:rFonts w:ascii="David" w:hAnsi="David" w:cs="David"/>
          <w:sz w:val="24"/>
          <w:szCs w:val="24"/>
          <w:rtl/>
        </w:rPr>
        <w:t xml:space="preserve">העיד כי </w:t>
      </w:r>
      <w:r w:rsidRPr="004E7CAE" w:rsidR="00AF08CB">
        <w:rPr>
          <w:rFonts w:hint="cs" w:ascii="David" w:hAnsi="David" w:cs="David"/>
          <w:sz w:val="24"/>
          <w:szCs w:val="24"/>
          <w:rtl/>
        </w:rPr>
        <w:t xml:space="preserve">אף היה מדובר במקרה חריג בו ניתנה לתובעת יותר מהארכת מועד אחת ביחס </w:t>
      </w:r>
      <w:r w:rsidRPr="004E7CAE" w:rsidR="00C812D4">
        <w:rPr>
          <w:rFonts w:ascii="David" w:hAnsi="David" w:cs="David"/>
          <w:sz w:val="24"/>
          <w:szCs w:val="24"/>
          <w:rtl/>
        </w:rPr>
        <w:t xml:space="preserve">למועד מסירת הדירות. </w:t>
      </w:r>
      <w:r w:rsidRPr="004E7CAE" w:rsidR="004E7CAE">
        <w:rPr>
          <w:rFonts w:hint="cs" w:ascii="David" w:hAnsi="David" w:cs="David"/>
          <w:sz w:val="24"/>
          <w:szCs w:val="24"/>
          <w:rtl/>
        </w:rPr>
        <w:t>כך העיד: "</w:t>
      </w:r>
      <w:r w:rsidRPr="004E7CAE" w:rsidR="004E7CAE">
        <w:rPr>
          <w:rFonts w:ascii="David" w:hAnsi="David" w:cs="David"/>
          <w:sz w:val="24"/>
          <w:szCs w:val="24"/>
          <w:rtl/>
        </w:rPr>
        <w:t>אושרה הדחייה לגבי הרוכשים החדשים לקביעת מועד מסירת הדירות לדצמבר 2024. לא בגלל שביררנו מתי נמסר המגרש אלא בגלל שהיה שנה שהקבלן לא עשה כלום ונאלצנו, ואני אומר את זה לא בגאווה גדולה, נאלצנו בגלל עובדות בשטח לאשר את הדחייה הזאת" (עמ' 55, שורות 5-7) וכך הדגיש "</w:t>
      </w:r>
      <w:r w:rsidRPr="004E7CAE" w:rsidR="004E7CAE">
        <w:rPr>
          <w:rFonts w:ascii="David" w:hAnsi="David" w:cs="David"/>
          <w:sz w:val="24"/>
          <w:szCs w:val="24"/>
          <w:rtl/>
          <w:lang w:eastAsia="he-IL"/>
        </w:rPr>
        <w:t>שעבר פרק זמן ממושך, לא התקדמתם מילימטר בבניין ונאלצנו, נאלצנו, ואני שוב לא אומר את זה בגאווה רבה, נאלצנו לקבוע מועד מסירה חדש, שגם דצמבר 2024 בסוף לא היה מועד המסירה, וגם דצמבר 2025 הוא לא מועד המסירה</w:t>
      </w:r>
      <w:r w:rsidR="004E7CAE">
        <w:rPr>
          <w:rFonts w:hint="cs" w:ascii="David" w:hAnsi="David" w:cs="David"/>
          <w:sz w:val="24"/>
          <w:szCs w:val="24"/>
          <w:rtl/>
          <w:lang w:eastAsia="he-IL"/>
        </w:rPr>
        <w:t>" (שם, שורות 21-24)</w:t>
      </w:r>
      <w:r w:rsidRPr="004E7CAE" w:rsidR="004E7CAE">
        <w:rPr>
          <w:rFonts w:ascii="David" w:hAnsi="David"/>
          <w:rtl/>
          <w:lang w:eastAsia="he-IL"/>
        </w:rPr>
        <w:t>.</w:t>
      </w:r>
    </w:p>
    <w:p w:rsidR="00C812D4" w:rsidP="004E7CAE"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לתובעת </w:t>
      </w:r>
      <w:r w:rsidR="004E7CAE">
        <w:rPr>
          <w:rFonts w:hint="cs" w:ascii="David" w:hAnsi="David" w:cs="David"/>
          <w:sz w:val="24"/>
          <w:szCs w:val="24"/>
          <w:rtl/>
        </w:rPr>
        <w:t xml:space="preserve">ניתן </w:t>
      </w:r>
      <w:r>
        <w:rPr>
          <w:rFonts w:ascii="David" w:hAnsi="David" w:cs="David"/>
          <w:sz w:val="24"/>
          <w:szCs w:val="24"/>
          <w:rtl/>
        </w:rPr>
        <w:t xml:space="preserve">אישור למועד מסירה ליום 31.12.2024. </w:t>
      </w:r>
      <w:r w:rsidR="004E7CAE">
        <w:rPr>
          <w:rFonts w:hint="cs" w:ascii="David" w:hAnsi="David" w:cs="David"/>
          <w:sz w:val="24"/>
          <w:szCs w:val="24"/>
          <w:rtl/>
        </w:rPr>
        <w:t xml:space="preserve">בהמשך, </w:t>
      </w:r>
      <w:r>
        <w:rPr>
          <w:rFonts w:ascii="David" w:hAnsi="David" w:cs="David"/>
          <w:sz w:val="24"/>
          <w:szCs w:val="24"/>
          <w:rtl/>
        </w:rPr>
        <w:t xml:space="preserve">במסגרת ההחלטה שניתנה בהליך הסעד זמני, בית המשפט קבע (בהסכמת המדינה) דחייה </w:t>
      </w:r>
      <w:r w:rsidR="004E7CAE">
        <w:rPr>
          <w:rFonts w:hint="cs" w:ascii="David" w:hAnsi="David" w:cs="David"/>
          <w:sz w:val="24"/>
          <w:szCs w:val="24"/>
          <w:rtl/>
        </w:rPr>
        <w:t xml:space="preserve">נוספת </w:t>
      </w:r>
      <w:r>
        <w:rPr>
          <w:rFonts w:ascii="David" w:hAnsi="David" w:cs="David"/>
          <w:sz w:val="24"/>
          <w:szCs w:val="24"/>
          <w:rtl/>
        </w:rPr>
        <w:t>של מועד המסירה ליום 31.12.2025 עבור הדירות שטרם נמכרו.</w:t>
      </w:r>
    </w:p>
    <w:p w:rsidR="004E7CAE" w:rsidP="00935110" w:rsidRDefault="004E7CAE">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lastRenderedPageBreak/>
        <w:t>התובעת מנועה מלטעון כי היא רשאית לקבוע מועד המסירה לפי שיקול דעתה</w:t>
      </w:r>
      <w:r w:rsidR="007331E2">
        <w:rPr>
          <w:rFonts w:hint="cs" w:ascii="David" w:hAnsi="David" w:cs="David"/>
          <w:sz w:val="24"/>
          <w:szCs w:val="24"/>
          <w:rtl/>
        </w:rPr>
        <w:t xml:space="preserve"> הבלעדי</w:t>
      </w:r>
      <w:r>
        <w:rPr>
          <w:rFonts w:hint="cs" w:ascii="David" w:hAnsi="David" w:cs="David"/>
          <w:sz w:val="24"/>
          <w:szCs w:val="24"/>
          <w:rtl/>
        </w:rPr>
        <w:t>, לאחר שהכירה בכך שעל</w:t>
      </w:r>
      <w:r w:rsidR="007331E2">
        <w:rPr>
          <w:rFonts w:hint="cs" w:ascii="David" w:hAnsi="David" w:cs="David"/>
          <w:sz w:val="24"/>
          <w:szCs w:val="24"/>
          <w:rtl/>
        </w:rPr>
        <w:t>י</w:t>
      </w:r>
      <w:r>
        <w:rPr>
          <w:rFonts w:hint="cs" w:ascii="David" w:hAnsi="David" w:cs="David"/>
          <w:sz w:val="24"/>
          <w:szCs w:val="24"/>
          <w:rtl/>
        </w:rPr>
        <w:t xml:space="preserve">ה לקבל אישור ממשרד הבינוי והשיכון להארכת מועד המסירה, ולאחר שבקשותיה להארכת מועד </w:t>
      </w:r>
      <w:r w:rsidR="00935110">
        <w:rPr>
          <w:rFonts w:hint="cs" w:ascii="David" w:hAnsi="David" w:cs="David"/>
          <w:sz w:val="24"/>
          <w:szCs w:val="24"/>
          <w:rtl/>
        </w:rPr>
        <w:t>נענו בחיוב.</w:t>
      </w:r>
    </w:p>
    <w:p w:rsidR="00C812D4" w:rsidP="007331E2" w:rsidRDefault="00C812D4">
      <w:pPr>
        <w:pStyle w:val="ad"/>
        <w:numPr>
          <w:ilvl w:val="0"/>
          <w:numId w:val="1"/>
        </w:numPr>
        <w:spacing w:after="240" w:line="360" w:lineRule="auto"/>
        <w:ind w:left="284" w:right="-170" w:hanging="454"/>
        <w:contextualSpacing w:val="0"/>
        <w:jc w:val="both"/>
        <w:rPr>
          <w:rFonts w:ascii="David" w:hAnsi="David" w:cs="David"/>
          <w:sz w:val="24"/>
          <w:szCs w:val="24"/>
          <w:rtl/>
        </w:rPr>
      </w:pPr>
      <w:r>
        <w:rPr>
          <w:rFonts w:ascii="David" w:hAnsi="David" w:cs="David"/>
          <w:sz w:val="24"/>
          <w:szCs w:val="24"/>
          <w:rtl/>
        </w:rPr>
        <w:t xml:space="preserve">דין </w:t>
      </w:r>
      <w:r w:rsidR="007331E2">
        <w:rPr>
          <w:rFonts w:hint="cs" w:ascii="David" w:hAnsi="David" w:cs="David"/>
          <w:sz w:val="24"/>
          <w:szCs w:val="24"/>
          <w:rtl/>
        </w:rPr>
        <w:t>טענת התובעת</w:t>
      </w:r>
      <w:r>
        <w:rPr>
          <w:rFonts w:ascii="David" w:hAnsi="David" w:cs="David"/>
          <w:sz w:val="24"/>
          <w:szCs w:val="24"/>
          <w:rtl/>
        </w:rPr>
        <w:t xml:space="preserve"> להידחות גם לגופה שכן בחינת הוראות המכרז וההסכמים מלמדת כי </w:t>
      </w:r>
      <w:r w:rsidR="007331E2">
        <w:rPr>
          <w:rFonts w:hint="cs" w:ascii="David" w:hAnsi="David" w:cs="David"/>
          <w:sz w:val="24"/>
          <w:szCs w:val="24"/>
          <w:rtl/>
        </w:rPr>
        <w:t xml:space="preserve">למדינה נתונה הסמכות לאשר את </w:t>
      </w:r>
      <w:r>
        <w:rPr>
          <w:rFonts w:ascii="David" w:hAnsi="David" w:cs="David"/>
          <w:sz w:val="24"/>
          <w:szCs w:val="24"/>
          <w:rtl/>
        </w:rPr>
        <w:t xml:space="preserve">מועד המסירה </w:t>
      </w:r>
      <w:r w:rsidR="007331E2">
        <w:rPr>
          <w:rFonts w:hint="cs" w:ascii="David" w:hAnsi="David" w:cs="David"/>
          <w:sz w:val="24"/>
          <w:szCs w:val="24"/>
          <w:rtl/>
        </w:rPr>
        <w:t>של הדירות לרוכשים</w:t>
      </w:r>
      <w:r>
        <w:rPr>
          <w:rFonts w:ascii="David" w:hAnsi="David" w:cs="David"/>
          <w:sz w:val="24"/>
          <w:szCs w:val="24"/>
          <w:rtl/>
        </w:rPr>
        <w:t>.</w:t>
      </w:r>
    </w:p>
    <w:p w:rsidR="0002191C" w:rsidP="0002191C" w:rsidRDefault="0002191C">
      <w:pPr>
        <w:pStyle w:val="ad"/>
        <w:numPr>
          <w:ilvl w:val="0"/>
          <w:numId w:val="1"/>
        </w:numPr>
        <w:spacing w:after="240" w:line="360" w:lineRule="auto"/>
        <w:ind w:left="284" w:right="-170" w:hanging="454"/>
        <w:contextualSpacing w:val="0"/>
        <w:jc w:val="both"/>
        <w:rPr>
          <w:rFonts w:ascii="David" w:hAnsi="David" w:cs="David"/>
          <w:sz w:val="24"/>
          <w:szCs w:val="24"/>
        </w:rPr>
      </w:pPr>
      <w:r w:rsidRPr="0002191C">
        <w:rPr>
          <w:rFonts w:ascii="David" w:hAnsi="David" w:cs="David"/>
          <w:sz w:val="24"/>
          <w:szCs w:val="24"/>
          <w:rtl/>
        </w:rPr>
        <w:t xml:space="preserve">קביעה עצמאית </w:t>
      </w:r>
      <w:r w:rsidR="00F537DF">
        <w:rPr>
          <w:rFonts w:hint="cs" w:ascii="David" w:hAnsi="David" w:cs="David"/>
          <w:sz w:val="24"/>
          <w:szCs w:val="24"/>
          <w:rtl/>
        </w:rPr>
        <w:t xml:space="preserve">ושרירותית </w:t>
      </w:r>
      <w:r w:rsidRPr="0002191C">
        <w:rPr>
          <w:rFonts w:ascii="David" w:hAnsi="David" w:cs="David"/>
          <w:sz w:val="24"/>
          <w:szCs w:val="24"/>
          <w:rtl/>
        </w:rPr>
        <w:t>של מועדי מסיר</w:t>
      </w:r>
      <w:r>
        <w:rPr>
          <w:rFonts w:hint="cs" w:ascii="David" w:hAnsi="David" w:cs="David"/>
          <w:sz w:val="24"/>
          <w:szCs w:val="24"/>
          <w:rtl/>
        </w:rPr>
        <w:t xml:space="preserve">ת הדירות לרוכשים </w:t>
      </w:r>
      <w:r w:rsidRPr="0002191C">
        <w:rPr>
          <w:rFonts w:ascii="David" w:hAnsi="David" w:cs="David"/>
          <w:sz w:val="24"/>
          <w:szCs w:val="24"/>
          <w:rtl/>
        </w:rPr>
        <w:t xml:space="preserve">על ידי היזם </w:t>
      </w:r>
      <w:r>
        <w:rPr>
          <w:rFonts w:hint="cs" w:ascii="David" w:hAnsi="David" w:cs="David"/>
          <w:sz w:val="24"/>
          <w:szCs w:val="24"/>
          <w:rtl/>
        </w:rPr>
        <w:t>אינה עולה בקנה אחד עם מ</w:t>
      </w:r>
      <w:r w:rsidRPr="0002191C">
        <w:rPr>
          <w:rFonts w:ascii="David" w:hAnsi="David" w:cs="David"/>
          <w:sz w:val="24"/>
          <w:szCs w:val="24"/>
          <w:rtl/>
        </w:rPr>
        <w:t>הות תוכנית</w:t>
      </w:r>
      <w:r>
        <w:rPr>
          <w:rFonts w:hint="cs" w:ascii="David" w:hAnsi="David" w:cs="David"/>
          <w:sz w:val="24"/>
          <w:szCs w:val="24"/>
          <w:rtl/>
        </w:rPr>
        <w:t xml:space="preserve"> "מחיר למשתכן" ועלולה </w:t>
      </w:r>
      <w:r w:rsidRPr="0002191C">
        <w:rPr>
          <w:rFonts w:ascii="David" w:hAnsi="David" w:cs="David"/>
          <w:sz w:val="24"/>
          <w:szCs w:val="24"/>
          <w:rtl/>
        </w:rPr>
        <w:t xml:space="preserve">לפגוע ברוכשים, שכן היא </w:t>
      </w:r>
      <w:r>
        <w:rPr>
          <w:rFonts w:hint="cs" w:ascii="David" w:hAnsi="David" w:cs="David"/>
          <w:sz w:val="24"/>
          <w:szCs w:val="24"/>
          <w:rtl/>
        </w:rPr>
        <w:t>משנה</w:t>
      </w:r>
      <w:r w:rsidRPr="0002191C">
        <w:rPr>
          <w:rFonts w:ascii="David" w:hAnsi="David" w:cs="David"/>
          <w:sz w:val="24"/>
          <w:szCs w:val="24"/>
          <w:rtl/>
        </w:rPr>
        <w:t xml:space="preserve"> את חלוקת הסיכונים</w:t>
      </w:r>
      <w:r>
        <w:rPr>
          <w:rFonts w:hint="cs" w:ascii="David" w:hAnsi="David" w:cs="David"/>
          <w:sz w:val="24"/>
          <w:szCs w:val="24"/>
          <w:rtl/>
        </w:rPr>
        <w:t xml:space="preserve"> כפי שהיא עולה מעקרונות התכנית כפי שקיבלו בי</w:t>
      </w:r>
      <w:r w:rsidR="004E38F2">
        <w:rPr>
          <w:rFonts w:hint="cs" w:ascii="David" w:hAnsi="David" w:cs="David"/>
          <w:sz w:val="24"/>
          <w:szCs w:val="24"/>
          <w:rtl/>
        </w:rPr>
        <w:t>טוי במכרז ובהסכמים שנחתמו. כך ו</w:t>
      </w:r>
      <w:r>
        <w:rPr>
          <w:rFonts w:hint="cs" w:ascii="David" w:hAnsi="David" w:cs="David"/>
          <w:sz w:val="24"/>
          <w:szCs w:val="24"/>
          <w:rtl/>
        </w:rPr>
        <w:t>דאי שאין מקום לקבוע עיקרו</w:t>
      </w:r>
      <w:r w:rsidR="004E38F2">
        <w:rPr>
          <w:rFonts w:hint="cs" w:ascii="David" w:hAnsi="David" w:cs="David"/>
          <w:sz w:val="24"/>
          <w:szCs w:val="24"/>
          <w:rtl/>
        </w:rPr>
        <w:t>ן</w:t>
      </w:r>
      <w:r>
        <w:rPr>
          <w:rFonts w:hint="cs" w:ascii="David" w:hAnsi="David" w:cs="David"/>
          <w:sz w:val="24"/>
          <w:szCs w:val="24"/>
          <w:rtl/>
        </w:rPr>
        <w:t xml:space="preserve"> שונה בנושא זה לגבי התובעת, במובחן מיתר היזמים המשתתפים בתכנית, נוכח </w:t>
      </w:r>
      <w:r w:rsidRPr="0002191C">
        <w:rPr>
          <w:rFonts w:ascii="David" w:hAnsi="David" w:cs="David"/>
          <w:sz w:val="24"/>
          <w:szCs w:val="24"/>
          <w:rtl/>
        </w:rPr>
        <w:t>עקרון השוויון בין המציעים במכרז</w:t>
      </w:r>
      <w:r>
        <w:rPr>
          <w:rFonts w:hint="cs" w:ascii="David" w:hAnsi="David" w:cs="David"/>
          <w:sz w:val="24"/>
          <w:szCs w:val="24"/>
          <w:rtl/>
        </w:rPr>
        <w:t>.</w:t>
      </w:r>
    </w:p>
    <w:p w:rsidR="00C812D4" w:rsidP="0002191C"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שעה שמדובר בפרויקט שהוא חלק מתכנית מחיר למשתכן, מועד מסירת הדירות אינו נקבע באופן עצמאי </w:t>
      </w:r>
      <w:r w:rsidR="00F537DF">
        <w:rPr>
          <w:rFonts w:hint="cs" w:ascii="David" w:hAnsi="David" w:cs="David"/>
          <w:sz w:val="24"/>
          <w:szCs w:val="24"/>
          <w:rtl/>
        </w:rPr>
        <w:t xml:space="preserve">ושרירותי </w:t>
      </w:r>
      <w:r>
        <w:rPr>
          <w:rFonts w:ascii="David" w:hAnsi="David" w:cs="David"/>
          <w:sz w:val="24"/>
          <w:szCs w:val="24"/>
          <w:rtl/>
        </w:rPr>
        <w:t>על ידי היזם, אלא מאושר על ידי המדינה כחלק מתהליך אישור הסכמי המכר.</w:t>
      </w:r>
      <w:r w:rsidR="007331E2">
        <w:rPr>
          <w:rFonts w:hint="cs" w:ascii="David" w:hAnsi="David" w:cs="David"/>
          <w:sz w:val="24"/>
          <w:szCs w:val="24"/>
          <w:rtl/>
        </w:rPr>
        <w:t xml:space="preserve"> </w:t>
      </w:r>
      <w:r w:rsidRPr="007331E2" w:rsidR="007331E2">
        <w:rPr>
          <w:rFonts w:ascii="David" w:hAnsi="David" w:cs="David"/>
          <w:sz w:val="24"/>
          <w:szCs w:val="24"/>
          <w:rtl/>
        </w:rPr>
        <w:t xml:space="preserve">מועד מסירת הדירות </w:t>
      </w:r>
      <w:r w:rsidR="007331E2">
        <w:rPr>
          <w:rFonts w:hint="cs" w:ascii="David" w:hAnsi="David" w:cs="David"/>
          <w:sz w:val="24"/>
          <w:szCs w:val="24"/>
          <w:rtl/>
        </w:rPr>
        <w:t xml:space="preserve">אומנם אינו </w:t>
      </w:r>
      <w:r w:rsidRPr="007331E2" w:rsidR="007331E2">
        <w:rPr>
          <w:rFonts w:ascii="David" w:hAnsi="David" w:cs="David"/>
          <w:sz w:val="24"/>
          <w:szCs w:val="24"/>
          <w:rtl/>
        </w:rPr>
        <w:t>נקבע על ידי רמ"י או מש</w:t>
      </w:r>
      <w:r w:rsidR="007331E2">
        <w:rPr>
          <w:rFonts w:hint="cs" w:ascii="David" w:hAnsi="David" w:cs="David"/>
          <w:sz w:val="24"/>
          <w:szCs w:val="24"/>
          <w:rtl/>
        </w:rPr>
        <w:t>רד הבינוי והשיכון</w:t>
      </w:r>
      <w:r w:rsidRPr="007331E2" w:rsidR="007331E2">
        <w:rPr>
          <w:rFonts w:ascii="David" w:hAnsi="David" w:cs="David"/>
          <w:sz w:val="24"/>
          <w:szCs w:val="24"/>
          <w:rtl/>
        </w:rPr>
        <w:t>, ואינו מופיע בחוברת המכרז, בחוזה הבנייה או בחוזה החכירה</w:t>
      </w:r>
      <w:r w:rsidR="007331E2">
        <w:rPr>
          <w:rFonts w:hint="cs" w:ascii="David" w:hAnsi="David" w:cs="David"/>
          <w:sz w:val="24"/>
          <w:szCs w:val="24"/>
          <w:rtl/>
        </w:rPr>
        <w:t xml:space="preserve">, אך </w:t>
      </w:r>
      <w:r w:rsidRPr="007331E2" w:rsidR="007331E2">
        <w:rPr>
          <w:rFonts w:ascii="David" w:hAnsi="David" w:cs="David"/>
          <w:sz w:val="24"/>
          <w:szCs w:val="24"/>
          <w:rtl/>
        </w:rPr>
        <w:t xml:space="preserve">על פי החוזה ותנאי המכרז, בסמכות </w:t>
      </w:r>
      <w:r w:rsidR="007331E2">
        <w:rPr>
          <w:rFonts w:hint="cs" w:ascii="David" w:hAnsi="David" w:cs="David"/>
          <w:sz w:val="24"/>
          <w:szCs w:val="24"/>
          <w:rtl/>
        </w:rPr>
        <w:t>המדינה</w:t>
      </w:r>
      <w:r w:rsidRPr="007331E2" w:rsidR="007331E2">
        <w:rPr>
          <w:rFonts w:ascii="David" w:hAnsi="David" w:cs="David"/>
          <w:sz w:val="24"/>
          <w:szCs w:val="24"/>
          <w:rtl/>
        </w:rPr>
        <w:t xml:space="preserve"> לאשר את </w:t>
      </w:r>
      <w:r w:rsidR="007331E2">
        <w:rPr>
          <w:rFonts w:hint="cs" w:ascii="David" w:hAnsi="David" w:cs="David"/>
          <w:sz w:val="24"/>
          <w:szCs w:val="24"/>
          <w:rtl/>
        </w:rPr>
        <w:t>בקשת היזם ביחס ל</w:t>
      </w:r>
      <w:r w:rsidRPr="007331E2" w:rsidR="007331E2">
        <w:rPr>
          <w:rFonts w:ascii="David" w:hAnsi="David" w:cs="David"/>
          <w:sz w:val="24"/>
          <w:szCs w:val="24"/>
          <w:rtl/>
        </w:rPr>
        <w:t>מועד המסירה</w:t>
      </w:r>
      <w:r w:rsidR="007331E2">
        <w:rPr>
          <w:rFonts w:hint="cs" w:ascii="David" w:hAnsi="David" w:cs="David"/>
          <w:sz w:val="24"/>
          <w:szCs w:val="24"/>
          <w:rtl/>
        </w:rPr>
        <w:t>.</w:t>
      </w:r>
    </w:p>
    <w:p w:rsidR="00C812D4" w:rsidP="00F537D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העדים מטעם </w:t>
      </w:r>
      <w:r w:rsidR="00BD72F6">
        <w:rPr>
          <w:rFonts w:hint="cs" w:ascii="David" w:hAnsi="David" w:cs="David"/>
          <w:sz w:val="24"/>
          <w:szCs w:val="24"/>
          <w:rtl/>
        </w:rPr>
        <w:t>המדינה</w:t>
      </w:r>
      <w:r>
        <w:rPr>
          <w:rFonts w:ascii="David" w:hAnsi="David" w:cs="David"/>
          <w:sz w:val="24"/>
          <w:szCs w:val="24"/>
          <w:rtl/>
        </w:rPr>
        <w:t xml:space="preserve"> הסבירו בעדותם </w:t>
      </w:r>
      <w:r w:rsidR="00F537DF">
        <w:rPr>
          <w:rFonts w:hint="cs" w:ascii="David" w:hAnsi="David" w:cs="David"/>
          <w:sz w:val="24"/>
          <w:szCs w:val="24"/>
          <w:rtl/>
        </w:rPr>
        <w:t xml:space="preserve">כי </w:t>
      </w:r>
      <w:r>
        <w:rPr>
          <w:rFonts w:ascii="David" w:hAnsi="David" w:cs="David"/>
          <w:sz w:val="24"/>
          <w:szCs w:val="24"/>
          <w:rtl/>
        </w:rPr>
        <w:t xml:space="preserve">על פי החוזה ותנאי המכרז, בסמכות </w:t>
      </w:r>
      <w:r w:rsidR="00BD72F6">
        <w:rPr>
          <w:rFonts w:hint="cs" w:ascii="David" w:hAnsi="David" w:cs="David"/>
          <w:sz w:val="24"/>
          <w:szCs w:val="24"/>
          <w:rtl/>
        </w:rPr>
        <w:t>רשויות המדינה</w:t>
      </w:r>
      <w:r>
        <w:rPr>
          <w:rFonts w:ascii="David" w:hAnsi="David" w:cs="David"/>
          <w:sz w:val="24"/>
          <w:szCs w:val="24"/>
          <w:rtl/>
        </w:rPr>
        <w:t xml:space="preserve"> לאשר את מועד המסירה וזאת לפי מגוון שיקולים</w:t>
      </w:r>
      <w:r w:rsidR="00935110">
        <w:rPr>
          <w:rFonts w:hint="cs" w:ascii="David" w:hAnsi="David" w:cs="David"/>
          <w:sz w:val="24"/>
          <w:szCs w:val="24"/>
          <w:rtl/>
        </w:rPr>
        <w:t>,</w:t>
      </w:r>
      <w:r>
        <w:rPr>
          <w:rFonts w:ascii="David" w:hAnsi="David" w:cs="David"/>
          <w:sz w:val="24"/>
          <w:szCs w:val="24"/>
          <w:rtl/>
        </w:rPr>
        <w:t xml:space="preserve"> כגון סטטוס הרישום, גודל הפרויקט.</w:t>
      </w:r>
    </w:p>
    <w:p w:rsidR="00C812D4" w:rsidP="00BD72F6"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לצורך אישור מועד מסירת הדירות, </w:t>
      </w:r>
      <w:r w:rsidR="00BD72F6">
        <w:rPr>
          <w:rFonts w:hint="cs" w:ascii="David" w:hAnsi="David" w:cs="David"/>
          <w:sz w:val="24"/>
          <w:szCs w:val="24"/>
          <w:rtl/>
        </w:rPr>
        <w:t>נבחנות</w:t>
      </w:r>
      <w:r>
        <w:rPr>
          <w:rFonts w:ascii="David" w:hAnsi="David" w:cs="David"/>
          <w:sz w:val="24"/>
          <w:szCs w:val="24"/>
          <w:rtl/>
        </w:rPr>
        <w:t xml:space="preserve"> נסיבותיו הפרטניות של הפרויקט. בין השיקולים הנלקחים בחשבון הם היקף הבנייה הנדרש, מספר יחידות הדיור, שינויים שחלו בין מועד פרסום המכרז למועד אישור המסירה, החלטות ועדות התכנון, שינויים בקרקע, היקף החפירות הנדרש ועוד.</w:t>
      </w:r>
    </w:p>
    <w:p w:rsidRPr="00935110" w:rsidR="00C812D4" w:rsidP="00935110" w:rsidRDefault="0002191C">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מהאמור עולה כי </w:t>
      </w:r>
      <w:r w:rsidR="00935110">
        <w:rPr>
          <w:rFonts w:hint="cs" w:ascii="David" w:hAnsi="David" w:cs="David"/>
          <w:sz w:val="24"/>
          <w:szCs w:val="24"/>
          <w:rtl/>
        </w:rPr>
        <w:t>אם תינתן ה</w:t>
      </w:r>
      <w:r w:rsidRPr="00935110" w:rsidR="00C812D4">
        <w:rPr>
          <w:rFonts w:ascii="David" w:hAnsi="David" w:cs="David"/>
          <w:sz w:val="24"/>
          <w:szCs w:val="24"/>
          <w:rtl/>
        </w:rPr>
        <w:t xml:space="preserve">אפשרות ליזם לקבוע לפי רצונו </w:t>
      </w:r>
      <w:r w:rsidR="00F537DF">
        <w:rPr>
          <w:rFonts w:hint="cs" w:ascii="David" w:hAnsi="David" w:cs="David"/>
          <w:sz w:val="24"/>
          <w:szCs w:val="24"/>
          <w:rtl/>
        </w:rPr>
        <w:t xml:space="preserve">בלבד </w:t>
      </w:r>
      <w:r w:rsidRPr="00935110" w:rsidR="00C812D4">
        <w:rPr>
          <w:rFonts w:ascii="David" w:hAnsi="David" w:cs="David"/>
          <w:sz w:val="24"/>
          <w:szCs w:val="24"/>
          <w:rtl/>
        </w:rPr>
        <w:t>את המועד שבו ימסור את הדירות לרוכשים</w:t>
      </w:r>
      <w:r w:rsidR="00935110">
        <w:rPr>
          <w:rFonts w:hint="cs" w:ascii="David" w:hAnsi="David" w:cs="David"/>
          <w:sz w:val="24"/>
          <w:szCs w:val="24"/>
          <w:rtl/>
        </w:rPr>
        <w:t xml:space="preserve">, </w:t>
      </w:r>
      <w:r>
        <w:rPr>
          <w:rFonts w:hint="cs" w:ascii="David" w:hAnsi="David" w:cs="David"/>
          <w:sz w:val="24"/>
          <w:szCs w:val="24"/>
          <w:rtl/>
        </w:rPr>
        <w:t>ללא פיקוח ומבלי שתינתן למדינה האפשרות ל</w:t>
      </w:r>
      <w:r w:rsidR="006B560E">
        <w:rPr>
          <w:rFonts w:hint="cs" w:ascii="David" w:hAnsi="David" w:cs="David"/>
          <w:sz w:val="24"/>
          <w:szCs w:val="24"/>
          <w:rtl/>
        </w:rPr>
        <w:t xml:space="preserve">אשר זאת, </w:t>
      </w:r>
      <w:r w:rsidR="00935110">
        <w:rPr>
          <w:rFonts w:hint="cs" w:ascii="David" w:hAnsi="David" w:cs="David"/>
          <w:sz w:val="24"/>
          <w:szCs w:val="24"/>
          <w:rtl/>
        </w:rPr>
        <w:t>הדבר יעמוד</w:t>
      </w:r>
      <w:r w:rsidRPr="00935110" w:rsidR="00935110">
        <w:rPr>
          <w:rFonts w:hint="cs" w:ascii="David" w:hAnsi="David" w:cs="David"/>
          <w:sz w:val="24"/>
          <w:szCs w:val="24"/>
          <w:rtl/>
        </w:rPr>
        <w:t xml:space="preserve"> בסתירה</w:t>
      </w:r>
      <w:r w:rsidRPr="00935110" w:rsidR="00C812D4">
        <w:rPr>
          <w:rFonts w:ascii="David" w:hAnsi="David" w:cs="David"/>
          <w:sz w:val="24"/>
          <w:szCs w:val="24"/>
          <w:rtl/>
        </w:rPr>
        <w:t xml:space="preserve"> </w:t>
      </w:r>
      <w:r w:rsidR="00935110">
        <w:rPr>
          <w:rFonts w:hint="cs" w:ascii="David" w:hAnsi="David" w:cs="David"/>
          <w:sz w:val="24"/>
          <w:szCs w:val="24"/>
          <w:rtl/>
        </w:rPr>
        <w:t>ל</w:t>
      </w:r>
      <w:r w:rsidRPr="00935110" w:rsidR="00C812D4">
        <w:rPr>
          <w:rFonts w:ascii="David" w:hAnsi="David" w:cs="David"/>
          <w:sz w:val="24"/>
          <w:szCs w:val="24"/>
          <w:rtl/>
        </w:rPr>
        <w:t>מהותה של תכנית מחיר למשתכן.</w:t>
      </w:r>
    </w:p>
    <w:p w:rsidR="005630F3" w:rsidP="005630F3" w:rsidRDefault="005630F3">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כך או כך, במקרה זה כבר נחתמו הסכמי המכר מול הרוכשים. </w:t>
      </w:r>
      <w:r w:rsidRPr="005630F3">
        <w:rPr>
          <w:rFonts w:ascii="David" w:hAnsi="David" w:cs="David"/>
          <w:sz w:val="24"/>
          <w:szCs w:val="24"/>
          <w:rtl/>
        </w:rPr>
        <w:t>המדינה יכולה להאריך מועדים ליזם בכל הנוגע להתחייבויותיו כלפי המדינה, כגון עמידה בלוחות זמנים לביצוע שלבי בנייה</w:t>
      </w:r>
      <w:r>
        <w:rPr>
          <w:rFonts w:hint="cs" w:ascii="David" w:hAnsi="David" w:cs="David"/>
          <w:sz w:val="24"/>
          <w:szCs w:val="24"/>
          <w:rtl/>
        </w:rPr>
        <w:t>, אולם מעת שנחתמו הסכמי מכר</w:t>
      </w:r>
      <w:r w:rsidRPr="005630F3">
        <w:rPr>
          <w:rFonts w:ascii="David" w:hAnsi="David" w:cs="David"/>
          <w:sz w:val="24"/>
          <w:szCs w:val="24"/>
          <w:rtl/>
        </w:rPr>
        <w:t>, הארכות מועדים אלו אינן משנות את מועדי המסירה שנקבעו בין היזם לרוכשים בהסכמי המכר</w:t>
      </w:r>
      <w:r>
        <w:rPr>
          <w:rFonts w:hint="cs" w:ascii="David" w:hAnsi="David" w:cs="David"/>
          <w:sz w:val="24"/>
          <w:szCs w:val="24"/>
          <w:rtl/>
        </w:rPr>
        <w:t>.</w:t>
      </w:r>
    </w:p>
    <w:p w:rsidR="00C812D4" w:rsidP="00751AF8" w:rsidRDefault="005630F3">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lastRenderedPageBreak/>
        <w:t xml:space="preserve">נוכח המפורט לעיל, </w:t>
      </w:r>
      <w:r w:rsidR="00C812D4">
        <w:rPr>
          <w:rFonts w:ascii="David" w:hAnsi="David" w:cs="David"/>
          <w:sz w:val="24"/>
          <w:szCs w:val="24"/>
          <w:rtl/>
        </w:rPr>
        <w:t xml:space="preserve">עתירת התובעת להצהיר כי היא רשאית לקבוע את מועד המסירה לרוכשים </w:t>
      </w:r>
      <w:r w:rsidR="007331E2">
        <w:rPr>
          <w:rFonts w:hint="cs" w:ascii="David" w:hAnsi="David" w:cs="David"/>
          <w:sz w:val="24"/>
          <w:szCs w:val="24"/>
          <w:rtl/>
        </w:rPr>
        <w:t xml:space="preserve">רק </w:t>
      </w:r>
      <w:r w:rsidR="00C812D4">
        <w:rPr>
          <w:rFonts w:ascii="David" w:hAnsi="David" w:cs="David"/>
          <w:sz w:val="24"/>
          <w:szCs w:val="24"/>
          <w:rtl/>
        </w:rPr>
        <w:t xml:space="preserve">לפי שיקול דעתה המקצועי, דינה להידחות.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יובהר עם זאת, כי דחיית העתירה למתן סעד הצהרתי לפיו יתאפשר לתובעת לקבוע בעצמה ולפי שיקול דעתה את מועד המסירה, אינה מעלה או מורידה ביחס לבירור מחלוקות, שככל הנראה צפויות להתברר, במישור מערכת היחסים בין התובעת ובין רוכשי הדירות, בטענה לאיחור במסירה. כך למשל, יש בהסכמי המכר עצמם גם הוראות המצדיקות איחור במסירה ללא תשלום פיצוי במקרים מסוימים, כך שכלל הסוגיות הנוגעות לנושא המסירה או טענות לאיחור במסירה צריכות להתברר במישור היחסים החוזי בין התובעת ובין רוכשי הדירות.</w:t>
      </w:r>
    </w:p>
    <w:p w:rsidR="00C812D4" w:rsidP="00751AF8" w:rsidRDefault="00C812D4">
      <w:pPr>
        <w:pStyle w:val="ad"/>
        <w:spacing w:after="240" w:line="360" w:lineRule="auto"/>
        <w:ind w:left="284" w:right="-170"/>
        <w:contextualSpacing w:val="0"/>
        <w:jc w:val="both"/>
        <w:rPr>
          <w:rFonts w:ascii="David" w:hAnsi="David" w:cs="David"/>
          <w:sz w:val="24"/>
          <w:szCs w:val="24"/>
        </w:rPr>
      </w:pPr>
      <w:r>
        <w:rPr>
          <w:rFonts w:ascii="David" w:hAnsi="David" w:cs="David"/>
          <w:sz w:val="24"/>
          <w:szCs w:val="24"/>
          <w:u w:val="single"/>
          <w:rtl/>
        </w:rPr>
        <w:t>דרישת התובעת לקביעת אחריות לתשלום פיצויים בגין הפרה ורשלנות</w:t>
      </w:r>
      <w:r>
        <w:rPr>
          <w:rFonts w:ascii="David" w:hAnsi="David" w:cs="David"/>
          <w:sz w:val="24"/>
          <w:szCs w:val="24"/>
        </w:rPr>
        <w:t xml:space="preserve">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התובעת עתרה גם למתן סעד המחייב את הנתבעים לפצותה בגין נזקים שנגרמו לתובעת בשל הפרת ההסכמים והתרשלותם. </w:t>
      </w:r>
    </w:p>
    <w:p w:rsidR="00C812D4" w:rsidP="00D25EC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מרכי</w:t>
      </w:r>
      <w:r w:rsidR="00D25EC2">
        <w:rPr>
          <w:rFonts w:ascii="David" w:hAnsi="David" w:cs="David"/>
          <w:sz w:val="24"/>
          <w:szCs w:val="24"/>
          <w:rtl/>
        </w:rPr>
        <w:t>ב זה של התביעה נדחה נוכח ההכרעה</w:t>
      </w:r>
      <w:r w:rsidR="00D25EC2">
        <w:rPr>
          <w:rFonts w:hint="cs" w:ascii="David" w:hAnsi="David" w:cs="David"/>
          <w:sz w:val="24"/>
          <w:szCs w:val="24"/>
          <w:rtl/>
        </w:rPr>
        <w:t xml:space="preserve">, כפי שפורטה בהרחבה </w:t>
      </w:r>
      <w:r>
        <w:rPr>
          <w:rFonts w:ascii="David" w:hAnsi="David" w:cs="David"/>
          <w:sz w:val="24"/>
          <w:szCs w:val="24"/>
          <w:rtl/>
        </w:rPr>
        <w:t>לעיל</w:t>
      </w:r>
      <w:r w:rsidR="00D25EC2">
        <w:rPr>
          <w:rFonts w:hint="cs" w:ascii="David" w:hAnsi="David" w:cs="David"/>
          <w:sz w:val="24"/>
          <w:szCs w:val="24"/>
          <w:rtl/>
        </w:rPr>
        <w:t>,</w:t>
      </w:r>
      <w:r>
        <w:rPr>
          <w:rFonts w:ascii="David" w:hAnsi="David" w:cs="David"/>
          <w:sz w:val="24"/>
          <w:szCs w:val="24"/>
          <w:rtl/>
        </w:rPr>
        <w:t xml:space="preserve"> בנושאים השונים הנדונים בתביעה ובפרט בעניין מועד מסירת המגרש וחישוב תקופות ההצמדה. </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סיום ההתדיינויות</w:t>
      </w:r>
    </w:p>
    <w:p w:rsidR="00C812D4" w:rsidP="00751AF8" w:rsidRDefault="00EC4196">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 xml:space="preserve">תוצאות </w:t>
      </w:r>
      <w:r w:rsidR="00C812D4">
        <w:rPr>
          <w:rFonts w:ascii="David" w:hAnsi="David" w:cs="David"/>
          <w:sz w:val="24"/>
          <w:szCs w:val="24"/>
          <w:rtl/>
        </w:rPr>
        <w:t>פסק הדין עתיד</w:t>
      </w:r>
      <w:r>
        <w:rPr>
          <w:rFonts w:hint="cs" w:ascii="David" w:hAnsi="David" w:cs="David"/>
          <w:sz w:val="24"/>
          <w:szCs w:val="24"/>
          <w:rtl/>
        </w:rPr>
        <w:t>ות</w:t>
      </w:r>
      <w:r w:rsidR="00C812D4">
        <w:rPr>
          <w:rFonts w:ascii="David" w:hAnsi="David" w:cs="David"/>
          <w:sz w:val="24"/>
          <w:szCs w:val="24"/>
          <w:rtl/>
        </w:rPr>
        <w:t xml:space="preserve"> לקבוע את מחיר הדירות ואופן חישוב ההצמדות בהתאם לחוזי המכר מול רוכשי הדירות ולהוראה הנכללת בהם כי קביעת בית המשפט בפסק הדין בהליך זה תחייב את הצדדים לחוזה.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התביעה היא למתן סעד הצהרתי. התביעה בעיקרה נדחתה. לתובעת ניתן היתר לפיצול סעדים לאפשרות הגשת תביעה כספית, אולם נוכח דחיית התביעה אזי לא עומדת לתובעת כל עילה נוספת נגד הנתבעות. כך גם יש בפסק הדין להכריע במערכת היחסים בין יתר הצדדים ובפרט בין המדינה לעיריית אשקלון ולחברה הכלכלית. מכאן, שיש בפסק הדין לסיים את מכלול ההתדיינות ביחס לנושאים הנדונים בתביעה, לגבי כלל הצדדים הנוגעים בדבר.</w:t>
      </w:r>
    </w:p>
    <w:p w:rsidR="00C812D4" w:rsidP="00751AF8" w:rsidRDefault="00C812D4">
      <w:pPr>
        <w:pStyle w:val="ad"/>
        <w:spacing w:after="240" w:line="360" w:lineRule="auto"/>
        <w:ind w:left="284" w:right="-170"/>
        <w:contextualSpacing w:val="0"/>
        <w:jc w:val="both"/>
        <w:rPr>
          <w:rFonts w:ascii="David" w:hAnsi="David" w:cs="David"/>
          <w:sz w:val="24"/>
          <w:szCs w:val="24"/>
          <w:u w:val="single"/>
        </w:rPr>
      </w:pPr>
      <w:r>
        <w:rPr>
          <w:rFonts w:ascii="David" w:hAnsi="David" w:cs="David"/>
          <w:sz w:val="24"/>
          <w:szCs w:val="24"/>
          <w:u w:val="single"/>
          <w:rtl/>
        </w:rPr>
        <w:t>הוצאות המשפט</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עיקר טענות התובעת נגד המדינה נדחו. בשים לב להיקף המשאבים שנדרשו לבירור ההליך, היה מקום לחייב התובעת בתשלום הוצאות </w:t>
      </w:r>
      <w:r w:rsidR="00D25EC2">
        <w:rPr>
          <w:rFonts w:hint="cs" w:ascii="David" w:hAnsi="David" w:cs="David"/>
          <w:sz w:val="24"/>
          <w:szCs w:val="24"/>
          <w:rtl/>
        </w:rPr>
        <w:t>מ</w:t>
      </w:r>
      <w:r>
        <w:rPr>
          <w:rFonts w:ascii="David" w:hAnsi="David" w:cs="David"/>
          <w:sz w:val="24"/>
          <w:szCs w:val="24"/>
          <w:rtl/>
        </w:rPr>
        <w:t>שפט לטובת הנתבעות 1-3 בשיעור של מאות אלפי שקלים. עם זאת, הגם שנקבע כאמור כי התובעת העלתה הטענ</w:t>
      </w:r>
      <w:r w:rsidR="00D25EC2">
        <w:rPr>
          <w:rFonts w:hint="cs" w:ascii="David" w:hAnsi="David" w:cs="David"/>
          <w:sz w:val="24"/>
          <w:szCs w:val="24"/>
          <w:rtl/>
        </w:rPr>
        <w:t>ו</w:t>
      </w:r>
      <w:r>
        <w:rPr>
          <w:rFonts w:ascii="David" w:hAnsi="David" w:cs="David"/>
          <w:sz w:val="24"/>
          <w:szCs w:val="24"/>
          <w:rtl/>
        </w:rPr>
        <w:t xml:space="preserve">ת בחוסר תום לב, עדיין לא ניתן להתעלם מכך שאומנם נוצרה אי בהירות ביחס למועד המדויק של מסירת המגרש. בהקשר זה </w:t>
      </w:r>
      <w:r>
        <w:rPr>
          <w:rFonts w:ascii="David" w:hAnsi="David" w:cs="David"/>
          <w:sz w:val="24"/>
          <w:szCs w:val="24"/>
          <w:rtl/>
        </w:rPr>
        <w:lastRenderedPageBreak/>
        <w:t xml:space="preserve">יצוין, כי אילו הנתבעות 4-5 היו פועלות כפי הנדרש בביצוע מסירה מסודרת ובתיעוד המסירה, לא היו נולדות טענות התובעת בעניין זה, טענות שלאחר בירור הנסיבות נדחו לגופן.  </w:t>
      </w:r>
    </w:p>
    <w:p w:rsidR="00C812D4" w:rsidP="00D25EC2"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אשר לנתבעות 1-3 עולה, כי לא נפל כל פגם בהתנהלות</w:t>
      </w:r>
      <w:r w:rsidR="00D25EC2">
        <w:rPr>
          <w:rFonts w:hint="cs" w:ascii="David" w:hAnsi="David" w:cs="David"/>
          <w:sz w:val="24"/>
          <w:szCs w:val="24"/>
          <w:rtl/>
        </w:rPr>
        <w:t>ן</w:t>
      </w:r>
      <w:r>
        <w:rPr>
          <w:rFonts w:ascii="David" w:hAnsi="David" w:cs="David"/>
          <w:sz w:val="24"/>
          <w:szCs w:val="24"/>
          <w:rtl/>
        </w:rPr>
        <w:t xml:space="preserve">. בכל הנוגע לאישור הסכמי המכר, פעלו הנתבעות 1-3 בניסיון לברר את הנתונים הנכונים לגבי מועד מסירת המגרש, כל זאת נוכח טענות התובעת, שהתברר </w:t>
      </w:r>
      <w:r w:rsidR="00D25EC2">
        <w:rPr>
          <w:rFonts w:hint="cs" w:ascii="David" w:hAnsi="David" w:cs="David"/>
          <w:sz w:val="24"/>
          <w:szCs w:val="24"/>
          <w:rtl/>
        </w:rPr>
        <w:t>כשגויות</w:t>
      </w:r>
      <w:r>
        <w:rPr>
          <w:rFonts w:ascii="David" w:hAnsi="David" w:cs="David"/>
          <w:sz w:val="24"/>
          <w:szCs w:val="24"/>
          <w:rtl/>
        </w:rPr>
        <w:t>, לפיהן כלל לא בוצעה מסירה של המגרש ודרישתה לחייב את רוכשי הדירות בהצמדה מלאה למדד תשומות הבניה. המדינה פעלה בהליך על מנת לשמור על התאמת הסכמי המכר</w:t>
      </w:r>
      <w:r w:rsidR="00D25EC2">
        <w:rPr>
          <w:rFonts w:hint="cs" w:ascii="David" w:hAnsi="David" w:cs="David"/>
          <w:sz w:val="24"/>
          <w:szCs w:val="24"/>
          <w:rtl/>
        </w:rPr>
        <w:t xml:space="preserve"> שייחתמו מול הרוכשים</w:t>
      </w:r>
      <w:r>
        <w:rPr>
          <w:rFonts w:ascii="David" w:hAnsi="David" w:cs="David"/>
          <w:sz w:val="24"/>
          <w:szCs w:val="24"/>
          <w:rtl/>
        </w:rPr>
        <w:t xml:space="preserve"> לכללים שנקבעו, ובכך גם לוודא כי רוכשי הדירות לא יחויבו בתשלום מעבר לנדרש על פי הכללים שנקבעו, וזאת נוכח החשיבות שהיא מייחסת לפרויקט מסוג "מחיר למשתכן".</w:t>
      </w:r>
    </w:p>
    <w:p w:rsidR="00C812D4" w:rsidP="00D7694F"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הראיות לימדו כי המדינה פעלה בהוגנות כלפי התובעת, שעה שהתחשבה במספר בקשות של התובעת למתן</w:t>
      </w:r>
      <w:r w:rsidR="00D7694F">
        <w:rPr>
          <w:rFonts w:ascii="David" w:hAnsi="David" w:cs="David"/>
          <w:sz w:val="24"/>
          <w:szCs w:val="24"/>
          <w:rtl/>
        </w:rPr>
        <w:t xml:space="preserve"> אורכה בעניין מועד מסירת הדירות</w:t>
      </w:r>
      <w:r>
        <w:rPr>
          <w:rFonts w:ascii="David" w:hAnsi="David" w:cs="David"/>
          <w:sz w:val="24"/>
          <w:szCs w:val="24"/>
          <w:rtl/>
        </w:rPr>
        <w:t xml:space="preserve">. אולם, מעת שכבר נחתמו הסכמי המכר מול רוכשי הדירות, אזי לא נמצא בסיס משפטי לעתירת התובעת למתן סעד הצהרתי שייקבע מועד המסירה. בוודאי שלא נמצא כל בסיס לעתירה למתן סעד הצהרתי לפיו התובעת רשאית לקבוע כפי רצונה </w:t>
      </w:r>
      <w:r w:rsidR="00D7694F">
        <w:rPr>
          <w:rFonts w:hint="cs" w:ascii="David" w:hAnsi="David" w:cs="David"/>
          <w:sz w:val="24"/>
          <w:szCs w:val="24"/>
          <w:rtl/>
        </w:rPr>
        <w:t xml:space="preserve">ולפי שיקול דעתה הבלעדי </w:t>
      </w:r>
      <w:r>
        <w:rPr>
          <w:rFonts w:ascii="David" w:hAnsi="David" w:cs="David"/>
          <w:sz w:val="24"/>
          <w:szCs w:val="24"/>
          <w:rtl/>
        </w:rPr>
        <w:t>את מועד המסירה, סעד המנוגד באופן מהותי לבסיס ההתקשרות הכלול בפרויקט "מחיר למשתכן".</w:t>
      </w:r>
    </w:p>
    <w:p w:rsidR="00C812D4" w:rsidP="006C2E75"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בהתחשב באמור, יהיה על התובעת לשלם לנתבעות 1-3 הוצאות משפט בסך של </w:t>
      </w:r>
      <w:r w:rsidR="006C2E75">
        <w:rPr>
          <w:rFonts w:hint="cs" w:ascii="David" w:hAnsi="David" w:cs="David"/>
          <w:sz w:val="24"/>
          <w:szCs w:val="24"/>
          <w:rtl/>
        </w:rPr>
        <w:t>50,000 ₪.</w:t>
      </w:r>
    </w:p>
    <w:p w:rsidR="00C812D4" w:rsidP="006A0C7E"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אף אם טענות הנתבעות 4-5 ביחס למועד המסירה התקבלו, אינני מוצא </w:t>
      </w:r>
      <w:r w:rsidR="006A0C7E">
        <w:rPr>
          <w:rFonts w:ascii="David" w:hAnsi="David" w:cs="David"/>
          <w:sz w:val="24"/>
          <w:szCs w:val="24"/>
          <w:rtl/>
        </w:rPr>
        <w:t>מקום להורות על פסיקת הוצאות משפ</w:t>
      </w:r>
      <w:r>
        <w:rPr>
          <w:rFonts w:ascii="David" w:hAnsi="David" w:cs="David"/>
          <w:sz w:val="24"/>
          <w:szCs w:val="24"/>
          <w:rtl/>
        </w:rPr>
        <w:t xml:space="preserve">ט לטובתן, וזאת בשל כך שמחדלי הנתבעות </w:t>
      </w:r>
      <w:r w:rsidR="006A0C7E">
        <w:rPr>
          <w:rFonts w:hint="cs" w:ascii="David" w:hAnsi="David" w:cs="David"/>
          <w:sz w:val="24"/>
          <w:szCs w:val="24"/>
          <w:rtl/>
        </w:rPr>
        <w:t xml:space="preserve">4-5 </w:t>
      </w:r>
      <w:r>
        <w:rPr>
          <w:rFonts w:ascii="David" w:hAnsi="David" w:cs="David"/>
          <w:sz w:val="24"/>
          <w:szCs w:val="24"/>
          <w:rtl/>
        </w:rPr>
        <w:t>בכל הנוגע להעדר תיעוד ברור של המסירה</w:t>
      </w:r>
      <w:r w:rsidR="006A0C7E">
        <w:rPr>
          <w:rFonts w:hint="cs" w:ascii="David" w:hAnsi="David" w:cs="David"/>
          <w:sz w:val="24"/>
          <w:szCs w:val="24"/>
          <w:rtl/>
        </w:rPr>
        <w:t>,</w:t>
      </w:r>
      <w:r>
        <w:rPr>
          <w:rFonts w:ascii="David" w:hAnsi="David" w:cs="David"/>
          <w:sz w:val="24"/>
          <w:szCs w:val="24"/>
          <w:rtl/>
        </w:rPr>
        <w:t xml:space="preserve"> כפי חובתן</w:t>
      </w:r>
      <w:r w:rsidR="006A0C7E">
        <w:rPr>
          <w:rFonts w:hint="cs" w:ascii="David" w:hAnsi="David" w:cs="David"/>
          <w:sz w:val="24"/>
          <w:szCs w:val="24"/>
          <w:rtl/>
        </w:rPr>
        <w:t>,</w:t>
      </w:r>
      <w:r>
        <w:rPr>
          <w:rFonts w:ascii="David" w:hAnsi="David" w:cs="David"/>
          <w:sz w:val="24"/>
          <w:szCs w:val="24"/>
          <w:rtl/>
        </w:rPr>
        <w:t xml:space="preserve"> יצרו אי בהירות אשר שימשה כאמור כבסיס לטענות התובעת ולקיום התדיינות בנושא.</w:t>
      </w:r>
    </w:p>
    <w:p w:rsidR="00024BAA"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הנתבעות 4-5 (הנתבעות בהודעה לצד שלישי) הפרו את חובותיהן ביחסיהן מול המדינה וזאת בכל הנוגע למתן דיווח מדויק ומתועד לגבי מסירת המגרש. מחדלים אלו</w:t>
      </w:r>
      <w:r w:rsidR="006A0C7E">
        <w:rPr>
          <w:rFonts w:hint="cs" w:ascii="David" w:hAnsi="David" w:cs="David"/>
          <w:sz w:val="24"/>
          <w:szCs w:val="24"/>
          <w:rtl/>
        </w:rPr>
        <w:t>,</w:t>
      </w:r>
      <w:r>
        <w:rPr>
          <w:rFonts w:ascii="David" w:hAnsi="David" w:cs="David"/>
          <w:sz w:val="24"/>
          <w:szCs w:val="24"/>
          <w:rtl/>
        </w:rPr>
        <w:t xml:space="preserve"> אשר הובילו לאי בהירות בנוגע למועד המדויק של מסירת המגרש, שימשו בסיס לטענות התובעת</w:t>
      </w:r>
      <w:r w:rsidR="006A0C7E">
        <w:rPr>
          <w:rFonts w:hint="cs" w:ascii="David" w:hAnsi="David" w:cs="David"/>
          <w:sz w:val="24"/>
          <w:szCs w:val="24"/>
          <w:rtl/>
        </w:rPr>
        <w:t>,</w:t>
      </w:r>
      <w:r>
        <w:rPr>
          <w:rFonts w:ascii="David" w:hAnsi="David" w:cs="David"/>
          <w:sz w:val="24"/>
          <w:szCs w:val="24"/>
          <w:rtl/>
        </w:rPr>
        <w:t xml:space="preserve"> כאשר אי הבהירות הובילה למעשה לניהול ההליך המשפטי. </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מהראיות עלה, כי נציג</w:t>
      </w:r>
      <w:r w:rsidR="006A0C7E">
        <w:rPr>
          <w:rFonts w:hint="cs" w:ascii="David" w:hAnsi="David" w:cs="David"/>
          <w:sz w:val="24"/>
          <w:szCs w:val="24"/>
          <w:rtl/>
        </w:rPr>
        <w:t>י</w:t>
      </w:r>
      <w:r>
        <w:rPr>
          <w:rFonts w:ascii="David" w:hAnsi="David" w:cs="David"/>
          <w:sz w:val="24"/>
          <w:szCs w:val="24"/>
          <w:rtl/>
        </w:rPr>
        <w:t xml:space="preserve"> משרד הבינוי והשיכון ניסו לברר כמלוא יכולתם את התשובה לשאלה בדבר מועד מסירת המגרש, בניסיון לקבוע את המועד הנכון שישמש בסיס להצמדת התמורה, תוך התחשבות הן בזכויות התובעת והן תוך שמירה קפדנית על זכויות רוכשי הדירות לבל יחויבו בתשלום גבוה מכפי המתחייב. אולם</w:t>
      </w:r>
      <w:r w:rsidR="00024BAA">
        <w:rPr>
          <w:rFonts w:hint="cs" w:ascii="David" w:hAnsi="David" w:cs="David"/>
          <w:sz w:val="24"/>
          <w:szCs w:val="24"/>
          <w:rtl/>
        </w:rPr>
        <w:t>,</w:t>
      </w:r>
      <w:r>
        <w:rPr>
          <w:rFonts w:ascii="David" w:hAnsi="David" w:cs="David"/>
          <w:sz w:val="24"/>
          <w:szCs w:val="24"/>
          <w:rtl/>
        </w:rPr>
        <w:t xml:space="preserve"> המענה שניתן מטעם הנתבעות 4-5 היה קלוקל, הנתונים שנמסרו מהגורמים שפעלו מטעם הנתבעות 4-5 לא היו מדויקים, ורק במסגרת בירור מעמיק של </w:t>
      </w:r>
      <w:r>
        <w:rPr>
          <w:rFonts w:ascii="David" w:hAnsi="David" w:cs="David"/>
          <w:sz w:val="24"/>
          <w:szCs w:val="24"/>
          <w:rtl/>
        </w:rPr>
        <w:lastRenderedPageBreak/>
        <w:t>העדויות והראיות בהליך המשפטי, התבהרה התמונה ביחס לנסיבות מסירת המגרש באופן שאפשר קביעת המועד בהתאמה להשתלשלות העובדתית כפי שאירעה בפועל. ניתן גם לומר כי נמצא בסיס איתן לעיקר טענות הנתבעות 1-3 בהודעה לצד שלישי, במישור היחסים מול הנתבעות 4-5, באופן המצדיק חיוב הנתבעות 4-5 בתשלום הוצאות לטובת הנתבעות 1-3.</w:t>
      </w:r>
    </w:p>
    <w:p w:rsidR="00C812D4" w:rsidP="006C2E75"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יוער, כי מחדלי הנתבעות 4-5 שהיה להם חלק מהותי ביצירת אי בהירות בנושא מועד מסירת המגרש שימשו כאמור כאחד הנימוקים לפסיקת הוצאות משפט מופחתות לחובת התובעת, וה</w:t>
      </w:r>
      <w:r w:rsidR="00024BAA">
        <w:rPr>
          <w:rFonts w:hint="cs" w:ascii="David" w:hAnsi="David" w:cs="David"/>
          <w:sz w:val="24"/>
          <w:szCs w:val="24"/>
          <w:rtl/>
        </w:rPr>
        <w:t>ם</w:t>
      </w:r>
      <w:r>
        <w:rPr>
          <w:rFonts w:ascii="David" w:hAnsi="David" w:cs="David"/>
          <w:sz w:val="24"/>
          <w:szCs w:val="24"/>
          <w:rtl/>
        </w:rPr>
        <w:t xml:space="preserve"> מהווים גם אחד הנימוקים לביסוס המסקנה כי יש להטיל על הנתבעות 4-5 תשלום הוצאות לטובת המדינה. על כן, על הנתבעות 4-5 (הנתבעות בהודעה לצד שלישי) לשלם לנתבעות 1-3 (שולחות ההודעה לצד שלישי) הוצאות משפט בסך של </w:t>
      </w:r>
      <w:r w:rsidR="006C2E75">
        <w:rPr>
          <w:rFonts w:hint="cs" w:ascii="David" w:hAnsi="David" w:cs="David"/>
          <w:sz w:val="24"/>
          <w:szCs w:val="24"/>
          <w:rtl/>
        </w:rPr>
        <w:t>10,000 ₪.</w:t>
      </w:r>
    </w:p>
    <w:p w:rsidR="00C812D4" w:rsidP="006C2E75"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השתתפות הנתבעים הנוספים, הנתבעים 6-11, ואופן הצגת טענותיהם, תרמו לבירור המחלוקת, וטיעוניהם נמצאו בעיקרם מוצדקים. לפיכך, על התובעת לשאת גם בתשלום הוצאות משפט לנתבעים 6-11, בסך של </w:t>
      </w:r>
      <w:r w:rsidR="006C2E75">
        <w:rPr>
          <w:rFonts w:hint="cs" w:ascii="David" w:hAnsi="David" w:cs="David"/>
          <w:sz w:val="24"/>
          <w:szCs w:val="24"/>
          <w:rtl/>
        </w:rPr>
        <w:t>10,000 ₪.</w:t>
      </w:r>
    </w:p>
    <w:p w:rsidRPr="00937308" w:rsidR="00C812D4" w:rsidP="00751AF8" w:rsidRDefault="00C812D4">
      <w:pPr>
        <w:pStyle w:val="ad"/>
        <w:spacing w:after="240" w:line="360" w:lineRule="auto"/>
        <w:ind w:left="284" w:right="-170"/>
        <w:contextualSpacing w:val="0"/>
        <w:jc w:val="both"/>
        <w:rPr>
          <w:rFonts w:ascii="David" w:hAnsi="David" w:cs="David"/>
          <w:b/>
          <w:bCs/>
          <w:sz w:val="24"/>
          <w:szCs w:val="24"/>
          <w:u w:val="single"/>
        </w:rPr>
      </w:pPr>
      <w:r w:rsidRPr="00937308">
        <w:rPr>
          <w:rFonts w:ascii="David" w:hAnsi="David" w:cs="David"/>
          <w:b/>
          <w:bCs/>
          <w:sz w:val="24"/>
          <w:szCs w:val="24"/>
          <w:u w:val="single"/>
          <w:rtl/>
        </w:rPr>
        <w:t>סיכום</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תביעת התובעת למתן סעדים הצהרתיים, נדחית בעיקרה.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בפרט, התביעה למתן סעד הצהרתי לפיו מועד מסירת מגרש 14 היה בחודש יוני 2020, נדחית. </w:t>
      </w:r>
    </w:p>
    <w:p w:rsidR="00C812D4" w:rsidP="00751AF8" w:rsidRDefault="006A0C7E">
      <w:pPr>
        <w:pStyle w:val="ad"/>
        <w:numPr>
          <w:ilvl w:val="0"/>
          <w:numId w:val="1"/>
        </w:numPr>
        <w:spacing w:after="240" w:line="360" w:lineRule="auto"/>
        <w:ind w:left="284" w:right="-170" w:hanging="454"/>
        <w:contextualSpacing w:val="0"/>
        <w:jc w:val="both"/>
        <w:rPr>
          <w:rFonts w:ascii="David" w:hAnsi="David" w:cs="David"/>
          <w:sz w:val="24"/>
          <w:szCs w:val="24"/>
        </w:rPr>
      </w:pPr>
      <w:r>
        <w:rPr>
          <w:rFonts w:hint="cs" w:ascii="David" w:hAnsi="David" w:cs="David"/>
          <w:sz w:val="24"/>
          <w:szCs w:val="24"/>
          <w:rtl/>
        </w:rPr>
        <w:t>כמו כן</w:t>
      </w:r>
      <w:r w:rsidR="00C812D4">
        <w:rPr>
          <w:rFonts w:ascii="David" w:hAnsi="David" w:cs="David"/>
          <w:sz w:val="24"/>
          <w:szCs w:val="24"/>
          <w:rtl/>
        </w:rPr>
        <w:t>, נדחית גם תביעת התובעת למתן סעד הצהרתי לפיו יש להוסיף למחירי הדירות (שטרם נחתמו הסכמי מכר לגביהן קודם להגשת התביעה) רצף מדדים מלא עד למועד החתימה על הסכמי הרכישה.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בעניין זה נקבע, כי מגרש 14 נמסר לחזקתה של התובעת בחודש ינואר 2019 ומאותו מועד היה ברשותה והיה באפשרותה לעשות בו כל שימוש כפי רצונה, אך נוכח אי הבהירות שנוצרה עקב מחדלי החברה הכלכלית, אזי לצרכי ההצמדה למדד תשומות הבנייה תהיה התובעת זכאית לכך שייראו את המסירה כמבוצעת רק ביום 18.3.2019. בהתאם לכך, מחירי הדירות יוצמדו למדד תשומות הבניה עד לפרק זמן של 20 חודשים מיום 19.3.2019, היינו עד ליום 19.11.2020. </w:t>
      </w:r>
    </w:p>
    <w:p w:rsidR="00C812D4" w:rsidP="00CB33E5"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בנוסף, מחירי הדירות יחזרו להיות מוצמדים למדד תשומות הבניה, החל ממועד </w:t>
      </w:r>
      <w:r w:rsidR="006A0C7E">
        <w:rPr>
          <w:rFonts w:hint="cs" w:ascii="David" w:hAnsi="David" w:cs="David"/>
          <w:sz w:val="24"/>
          <w:szCs w:val="24"/>
          <w:rtl/>
        </w:rPr>
        <w:t>המתווה בהליך הסעד הזמני</w:t>
      </w:r>
      <w:r>
        <w:rPr>
          <w:rFonts w:ascii="David" w:hAnsi="David" w:cs="David"/>
          <w:sz w:val="24"/>
          <w:szCs w:val="24"/>
          <w:rtl/>
        </w:rPr>
        <w:t xml:space="preserve">, </w:t>
      </w:r>
      <w:r w:rsidR="00CB33E5">
        <w:rPr>
          <w:rFonts w:ascii="David" w:hAnsi="David" w:cs="David"/>
          <w:sz w:val="24"/>
          <w:szCs w:val="24"/>
          <w:rtl/>
        </w:rPr>
        <w:t>ביום 29.3.2023</w:t>
      </w:r>
      <w:r w:rsidR="00CB33E5">
        <w:rPr>
          <w:rFonts w:hint="cs" w:ascii="David" w:hAnsi="David" w:cs="David"/>
          <w:sz w:val="24"/>
          <w:szCs w:val="24"/>
          <w:rtl/>
        </w:rPr>
        <w:t xml:space="preserve">, </w:t>
      </w:r>
      <w:r>
        <w:rPr>
          <w:rFonts w:ascii="David" w:hAnsi="David" w:cs="David"/>
          <w:sz w:val="24"/>
          <w:szCs w:val="24"/>
          <w:rtl/>
        </w:rPr>
        <w:t xml:space="preserve"> ועד למועד חתימת כל אחד מהסכמי הרכישה.</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התביעה לסעד הצהרתי לגבי מועד מסירת הדירות, נדחית.</w:t>
      </w:r>
    </w:p>
    <w:p w:rsidR="00C812D4" w:rsidP="00751AF8"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lastRenderedPageBreak/>
        <w:t>בכל הנוגע לתחולת תיקון 9 לחוק המכר (דירות) ניתן כאמור ביום 25.2.2026 תוקף של פסק דין חלקי להסכם פשרה שהוגש בהליך.</w:t>
      </w:r>
    </w:p>
    <w:p w:rsidR="00C812D4" w:rsidP="006C2E75"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 xml:space="preserve">התובעת תשלם לנתבעות 1-3 הוצאות משפט בסך של </w:t>
      </w:r>
      <w:r w:rsidR="006C2E75">
        <w:rPr>
          <w:rFonts w:hint="cs" w:ascii="David" w:hAnsi="David" w:cs="David"/>
          <w:sz w:val="24"/>
          <w:szCs w:val="24"/>
          <w:rtl/>
        </w:rPr>
        <w:t xml:space="preserve">50,000 ₪ </w:t>
      </w:r>
      <w:r>
        <w:rPr>
          <w:rFonts w:ascii="David" w:hAnsi="David" w:cs="David"/>
          <w:sz w:val="24"/>
          <w:szCs w:val="24"/>
          <w:rtl/>
        </w:rPr>
        <w:t xml:space="preserve">וכן תשלם לנתבעים 6-11 הוצאות משפט בסך של </w:t>
      </w:r>
      <w:r w:rsidR="006C2E75">
        <w:rPr>
          <w:rFonts w:hint="cs" w:ascii="David" w:hAnsi="David" w:cs="David"/>
          <w:sz w:val="24"/>
          <w:szCs w:val="24"/>
          <w:rtl/>
        </w:rPr>
        <w:t>10,000 ₪.</w:t>
      </w:r>
    </w:p>
    <w:p w:rsidR="00C812D4" w:rsidP="006C2E75" w:rsidRDefault="00C812D4">
      <w:pPr>
        <w:pStyle w:val="ad"/>
        <w:numPr>
          <w:ilvl w:val="0"/>
          <w:numId w:val="1"/>
        </w:numPr>
        <w:spacing w:after="240" w:line="360" w:lineRule="auto"/>
        <w:ind w:left="284" w:right="-170" w:hanging="454"/>
        <w:contextualSpacing w:val="0"/>
        <w:jc w:val="both"/>
        <w:rPr>
          <w:rFonts w:ascii="David" w:hAnsi="David" w:cs="David"/>
          <w:sz w:val="24"/>
          <w:szCs w:val="24"/>
        </w:rPr>
      </w:pPr>
      <w:r>
        <w:rPr>
          <w:rFonts w:ascii="David" w:hAnsi="David" w:cs="David"/>
          <w:sz w:val="24"/>
          <w:szCs w:val="24"/>
          <w:rtl/>
        </w:rPr>
        <w:t>על הנתבעות 4-5 (הנתבעות בהודעה לצד שלישי) לשלם לנתבעות 1-3 הוצאות משפט בסך של</w:t>
      </w:r>
      <w:r w:rsidR="006C2E75">
        <w:rPr>
          <w:rFonts w:hint="cs" w:ascii="David" w:hAnsi="David" w:cs="David"/>
          <w:sz w:val="24"/>
          <w:szCs w:val="24"/>
          <w:rtl/>
        </w:rPr>
        <w:t xml:space="preserve"> 10,000 ₪.</w:t>
      </w:r>
    </w:p>
    <w:p w:rsidRPr="00C770E3" w:rsidR="00694556" w:rsidRDefault="00694556">
      <w:pPr>
        <w:spacing w:line="360" w:lineRule="auto"/>
        <w:jc w:val="both"/>
        <w:rPr>
          <w:rFonts w:ascii="Arial" w:hAnsi="Arial"/>
          <w:noProof w:val="0"/>
          <w:rtl/>
        </w:rPr>
      </w:pPr>
    </w:p>
    <w:p w:rsidRPr="00C770E3" w:rsidR="00694556" w:rsidRDefault="00694556">
      <w:pPr>
        <w:spacing w:line="360" w:lineRule="auto"/>
        <w:jc w:val="both"/>
        <w:rPr>
          <w:rFonts w:ascii="Arial" w:hAnsi="Arial"/>
          <w:noProof w:val="0"/>
          <w:rtl/>
        </w:rPr>
      </w:pPr>
    </w:p>
    <w:p w:rsidR="00694556" w:rsidP="00860102" w:rsidRDefault="0043502B">
      <w:pPr>
        <w:spacing w:line="360" w:lineRule="auto"/>
        <w:jc w:val="both"/>
        <w:rPr>
          <w:rFonts w:ascii="Arial" w:hAnsi="Arial"/>
          <w:noProof w:val="0"/>
          <w:rtl/>
        </w:rPr>
      </w:pPr>
      <w:r>
        <w:rPr>
          <w:rFonts w:ascii="Arial" w:hAnsi="Arial"/>
          <w:noProof w:val="0"/>
          <w:rtl/>
        </w:rPr>
        <w:t>נית</w:t>
      </w:r>
      <w:r w:rsidR="00860102">
        <w:rPr>
          <w:rFonts w:hint="cs" w:ascii="Arial" w:hAnsi="Arial"/>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ח' אב תשפ"ו</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22 יולי 2026</w:t>
          </w:r>
        </w:sdtContent>
      </w:sdt>
      <w:r w:rsidR="00005C8B">
        <w:rPr>
          <w:rFonts w:ascii="Arial" w:hAnsi="Arial"/>
          <w:noProof w:val="0"/>
          <w:rtl/>
        </w:rPr>
        <w:t>, בהעדר הצדדים.</w:t>
      </w:r>
    </w:p>
    <w:p w:rsidR="00C43648" w:rsidP="00BD6531" w:rsidRDefault="00EC4196">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P="00BD6531" w:rsidRDefault="00BD6531">
      <w:pPr>
        <w:tabs>
          <w:tab w:val="left" w:pos="2553"/>
        </w:tabs>
        <w:rPr>
          <w:rFonts w:ascii="Arial" w:hAnsi="Arial"/>
          <w:noProof w:val="0"/>
          <w:rtl/>
        </w:rPr>
      </w:pPr>
      <w:r>
        <w:rPr>
          <w:rFonts w:hint="cs"/>
          <w:rtl/>
        </w:rPr>
        <w:tab/>
      </w:r>
      <w:r>
        <w:rPr>
          <w:rFonts w:hint="cs"/>
          <w:rtl/>
        </w:rPr>
        <w:tab/>
      </w:r>
      <w:r>
        <w:rPr>
          <w:rFonts w:hint="cs"/>
          <w:rtl/>
        </w:rPr>
        <w:tab/>
      </w:r>
      <w:r>
        <w:rPr>
          <w:rFonts w:hint="cs"/>
          <w:rtl/>
        </w:rPr>
        <w:tab/>
        <w:t xml:space="preserve">        </w:t>
      </w:r>
      <w:bookmarkEnd w:id="0"/>
      <w:sdt>
        <w:sdtPr>
          <w:alias w:val="MergeField"/>
          <w:tag w:val="1237"/>
        </w:sdtPr>
        <w:sdtContent>
          <w:p>
            <w:pPr/>
            <w:r>
              <w:drawing>
                <wp:inline distT="0" distB="0" distL="0" distR="0" wp14:editId="50D07946">
                  <wp:extent cx="9715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3930e4475e7b48e8" cstate="print">
                            <a:extLst>
                              <a:ext uri="{28A0092B-C50C-407E-A947-70E740481C1C}"/>
                            </a:extLst>
                          </a:blip>
                          <a:stretch>
                            <a:fillRect/>
                          </a:stretch>
                        </pic:blipFill>
                        <pic:spPr>
                          <a:xfrm>
                            <a:off x="0" y="0"/>
                            <a:ext cx="971550" cy="933450"/>
                          </a:xfrm>
                          <a:prstGeom prst="rect">
                            <a:avLst/>
                          </a:prstGeom>
                        </pic:spPr>
                      </pic:pic>
                    </a:graphicData>
                  </a:graphic>
                </wp:inline>
              </w:drawing>
            </w:r>
          </w:p>
        </w:sdtContent>
      </w:sdt>
    </w:p>
    <w:sectPr w:rsidR="00694556" w:rsidSect="00212490">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6FB" w:rsidRDefault="009816F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424313" w:rsidR="00694556" w:rsidRDefault="000C3B60">
    <w:pPr>
      <w:pStyle w:val="a4"/>
      <w:jc w:val="center"/>
      <w:rPr>
        <w:rStyle w:val="ab"/>
        <w:rFonts w:ascii="David" w:hAnsi="David"/>
      </w:rPr>
    </w:pPr>
    <w:r w:rsidRPr="00424313">
      <w:rPr>
        <w:rStyle w:val="ab"/>
        <w:rFonts w:ascii="David" w:hAnsi="David"/>
      </w:rPr>
      <w:fldChar w:fldCharType="begin"/>
    </w:r>
    <w:r w:rsidRPr="00424313" w:rsidR="00005C8B">
      <w:rPr>
        <w:rStyle w:val="ab"/>
        <w:rFonts w:ascii="David" w:hAnsi="David"/>
      </w:rPr>
      <w:instrText xml:space="preserve"> PAGE </w:instrText>
    </w:r>
    <w:r w:rsidRPr="00424313">
      <w:rPr>
        <w:rStyle w:val="ab"/>
        <w:rFonts w:ascii="David" w:hAnsi="David"/>
      </w:rPr>
      <w:fldChar w:fldCharType="separate"/>
    </w:r>
    <w:r w:rsidR="00EC4196">
      <w:rPr>
        <w:rStyle w:val="ab"/>
        <w:rFonts w:ascii="David" w:hAnsi="David"/>
        <w:rtl/>
      </w:rPr>
      <w:t>56</w:t>
    </w:r>
    <w:r w:rsidRPr="00424313">
      <w:rPr>
        <w:rStyle w:val="ab"/>
        <w:rFonts w:ascii="David" w:hAnsi="David"/>
      </w:rPr>
      <w:fldChar w:fldCharType="end"/>
    </w:r>
    <w:r w:rsidRPr="00424313" w:rsidR="00005C8B">
      <w:rPr>
        <w:rStyle w:val="ab"/>
        <w:rFonts w:ascii="David" w:hAnsi="David"/>
        <w:rtl/>
      </w:rPr>
      <w:t xml:space="preserve"> מתוך </w:t>
    </w:r>
    <w:r w:rsidRPr="00424313">
      <w:rPr>
        <w:rStyle w:val="ab"/>
        <w:rFonts w:ascii="David" w:hAnsi="David"/>
      </w:rPr>
      <w:fldChar w:fldCharType="begin"/>
    </w:r>
    <w:r w:rsidRPr="00424313" w:rsidR="00005C8B">
      <w:rPr>
        <w:rStyle w:val="ab"/>
        <w:rFonts w:ascii="David" w:hAnsi="David"/>
      </w:rPr>
      <w:instrText xml:space="preserve"> NUMPAGES </w:instrText>
    </w:r>
    <w:r w:rsidRPr="00424313">
      <w:rPr>
        <w:rStyle w:val="ab"/>
        <w:rFonts w:ascii="David" w:hAnsi="David"/>
      </w:rPr>
      <w:fldChar w:fldCharType="separate"/>
    </w:r>
    <w:r w:rsidR="00EC4196">
      <w:rPr>
        <w:rStyle w:val="ab"/>
        <w:rFonts w:ascii="David" w:hAnsi="David"/>
        <w:rtl/>
      </w:rPr>
      <w:t>57</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6FB" w:rsidRDefault="009816F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6FB" w:rsidRDefault="009816FB">
    <w:pPr>
      <w:pStyle w:val="a3"/>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val="704" w:hRule="exact"/>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Pr="00F038D8" w:rsidR="00694556" w:rsidP="003230C7" w:rsidRDefault="003D1C8C">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בבאר שבע</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Pr="00912DB5" w:rsidR="007D45E3" w:rsidP="007C2453" w:rsidRDefault="00EC4196">
          <w:pPr>
            <w:rPr>
              <w:b/>
              <w:bCs/>
              <w:noProof w:val="0"/>
              <w:sz w:val="25"/>
              <w:szCs w:val="25"/>
              <w:rtl/>
            </w:rPr>
          </w:pPr>
          <w:sdt>
            <w:sdtPr>
              <w:rPr>
                <w:sz w:val="25"/>
                <w:szCs w:val="25"/>
                <w:rtl/>
              </w:rPr>
              <w:alias w:val="1170"/>
              <w:tag w:val="1170"/>
              <w:id w:val="1066377040"/>
              <w:text w:multiLine="1"/>
            </w:sdtPr>
            <w:sdtEndPr/>
            <w:sdtContent>
              <w:r w:rsidRPr="00912DB5" w:rsidR="00424313">
                <w:rPr>
                  <w:b/>
                  <w:bCs/>
                  <w:noProof w:val="0"/>
                  <w:sz w:val="25"/>
                  <w:szCs w:val="25"/>
                  <w:rtl/>
                </w:rPr>
                <w:t>ת"א</w:t>
              </w:r>
            </w:sdtContent>
          </w:sdt>
          <w:r w:rsidRPr="00912DB5" w:rsidR="00005C8B">
            <w:rPr>
              <w:b/>
              <w:bCs/>
              <w:noProof w:val="0"/>
              <w:sz w:val="25"/>
              <w:szCs w:val="25"/>
              <w:rtl/>
            </w:rPr>
            <w:t xml:space="preserve"> </w:t>
          </w:r>
          <w:sdt>
            <w:sdtPr>
              <w:rPr>
                <w:sz w:val="25"/>
                <w:szCs w:val="25"/>
                <w:rtl/>
              </w:rPr>
              <w:alias w:val="1171"/>
              <w:tag w:val="1171"/>
              <w:id w:val="257034231"/>
              <w:text w:multiLine="1"/>
            </w:sdtPr>
            <w:sdtEndPr/>
            <w:sdtContent>
              <w:r w:rsidRPr="00912DB5" w:rsidR="00424313">
                <w:rPr>
                  <w:b/>
                  <w:bCs/>
                  <w:noProof w:val="0"/>
                  <w:sz w:val="25"/>
                  <w:szCs w:val="25"/>
                  <w:rtl/>
                </w:rPr>
                <w:t>51092-09-22</w:t>
              </w:r>
            </w:sdtContent>
          </w:sdt>
          <w:r w:rsidRPr="00912DB5" w:rsidR="00005C8B">
            <w:rPr>
              <w:b/>
              <w:bCs/>
              <w:noProof w:val="0"/>
              <w:sz w:val="25"/>
              <w:szCs w:val="25"/>
              <w:rtl/>
            </w:rPr>
            <w:t xml:space="preserve"> </w:t>
          </w:r>
          <w:sdt>
            <w:sdtPr>
              <w:rPr>
                <w:b/>
                <w:bCs/>
                <w:noProof w:val="0"/>
                <w:sz w:val="25"/>
                <w:szCs w:val="25"/>
                <w:rtl/>
              </w:rPr>
              <w:alias w:val="3154"/>
              <w:tag w:val="3154"/>
              <w:id w:val="-1285889662"/>
              <w:placeholder>
                <w:docPart w:val="F5EF4663D5094D57BB3FEC6B89CF5C8E"/>
              </w:placeholder>
              <w:text w:multiLine="1"/>
            </w:sdtPr>
            <w:sdtEndPr/>
            <w:sdtContent>
              <w:r w:rsidRPr="00912DB5" w:rsidR="00424313">
                <w:rPr>
                  <w:b/>
                  <w:bCs/>
                  <w:noProof w:val="0"/>
                  <w:sz w:val="25"/>
                  <w:szCs w:val="25"/>
                  <w:rtl/>
                </w:rPr>
                <w:t>כ. כוכב הנגב - חברה לבנין ופתוח (1990) בע"מ ואח' נ' רשות מקרקעי ישראל ואח'</w:t>
              </w:r>
            </w:sdtContent>
          </w:sdt>
          <w:r w:rsidRPr="00912DB5" w:rsidR="007C2453">
            <w:rPr>
              <w:b/>
              <w:bCs/>
              <w:noProof w:val="0"/>
              <w:sz w:val="25"/>
              <w:szCs w:val="25"/>
              <w:rtl/>
            </w:rPr>
            <w:t xml:space="preserve"> </w:t>
          </w:r>
        </w:p>
        <w:p w:rsidRPr="007B7765" w:rsidR="007D45E3" w:rsidP="007D45E3" w:rsidRDefault="007D45E3">
          <w:pPr>
            <w:rPr>
              <w:b/>
              <w:bCs/>
              <w:noProof w:val="0"/>
              <w:sz w:val="2"/>
              <w:szCs w:val="2"/>
              <w:rtl/>
            </w:rPr>
          </w:pPr>
        </w:p>
        <w:p w:rsidRPr="00E1068A" w:rsidR="008D10B2" w:rsidP="00A263CE" w:rsidRDefault="007D45E3">
          <w:pPr>
            <w:rPr>
              <w:sz w:val="20"/>
              <w:szCs w:val="20"/>
              <w:rtl/>
            </w:rPr>
          </w:pPr>
          <w:r>
            <w:rPr>
              <w:rFonts w:hint="cs"/>
              <w:rtl/>
            </w:rPr>
            <w:t xml:space="preserve">                           </w:t>
          </w:r>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6FB" w:rsidRDefault="009816F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673FD"/>
    <w:multiLevelType w:val="hybridMultilevel"/>
    <w:tmpl w:val="C09CB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B72775E"/>
    <w:multiLevelType w:val="hybridMultilevel"/>
    <w:tmpl w:val="6CFA29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4AC7968"/>
    <w:multiLevelType w:val="hybridMultilevel"/>
    <w:tmpl w:val="132CFB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defaultTabStop w:val="720"/>
  <w:characterSpacingControl w:val="doNotCompress"/>
  <w:hdrShapeDefaults>
    <o:shapedefaults v:ext="edit" spidmax="2160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04A8"/>
    <w:rsid w:val="00013551"/>
    <w:rsid w:val="0002191C"/>
    <w:rsid w:val="0002296F"/>
    <w:rsid w:val="00024BAA"/>
    <w:rsid w:val="00024C13"/>
    <w:rsid w:val="00030FAF"/>
    <w:rsid w:val="000326A9"/>
    <w:rsid w:val="00045484"/>
    <w:rsid w:val="0004646B"/>
    <w:rsid w:val="000529D2"/>
    <w:rsid w:val="000564AB"/>
    <w:rsid w:val="00064FBD"/>
    <w:rsid w:val="0007236F"/>
    <w:rsid w:val="0007425B"/>
    <w:rsid w:val="00082AB2"/>
    <w:rsid w:val="00084B42"/>
    <w:rsid w:val="000906FE"/>
    <w:rsid w:val="00096225"/>
    <w:rsid w:val="00096AF7"/>
    <w:rsid w:val="000B344B"/>
    <w:rsid w:val="000B503A"/>
    <w:rsid w:val="000C3B0F"/>
    <w:rsid w:val="000C3B60"/>
    <w:rsid w:val="000C720E"/>
    <w:rsid w:val="000D1EE1"/>
    <w:rsid w:val="000D4F80"/>
    <w:rsid w:val="000E0DD2"/>
    <w:rsid w:val="000E3AF1"/>
    <w:rsid w:val="000E3F4A"/>
    <w:rsid w:val="000F0BC8"/>
    <w:rsid w:val="000F0DD6"/>
    <w:rsid w:val="00107E6D"/>
    <w:rsid w:val="0011194C"/>
    <w:rsid w:val="0011424C"/>
    <w:rsid w:val="001173C6"/>
    <w:rsid w:val="0012085A"/>
    <w:rsid w:val="00122A9F"/>
    <w:rsid w:val="001348CB"/>
    <w:rsid w:val="001367BC"/>
    <w:rsid w:val="00143A73"/>
    <w:rsid w:val="00144D2A"/>
    <w:rsid w:val="00145591"/>
    <w:rsid w:val="0014653E"/>
    <w:rsid w:val="00165DB9"/>
    <w:rsid w:val="00180519"/>
    <w:rsid w:val="00191C82"/>
    <w:rsid w:val="00196EC2"/>
    <w:rsid w:val="001B15C9"/>
    <w:rsid w:val="001B2089"/>
    <w:rsid w:val="001B7E2A"/>
    <w:rsid w:val="001C132F"/>
    <w:rsid w:val="001C4003"/>
    <w:rsid w:val="001C42A9"/>
    <w:rsid w:val="001C57D1"/>
    <w:rsid w:val="001D4DBF"/>
    <w:rsid w:val="001D6010"/>
    <w:rsid w:val="001E4CD2"/>
    <w:rsid w:val="001E75CA"/>
    <w:rsid w:val="001F470C"/>
    <w:rsid w:val="001F5C4A"/>
    <w:rsid w:val="00200540"/>
    <w:rsid w:val="00201FA4"/>
    <w:rsid w:val="00212490"/>
    <w:rsid w:val="00220670"/>
    <w:rsid w:val="002265FF"/>
    <w:rsid w:val="0024192F"/>
    <w:rsid w:val="00265D6B"/>
    <w:rsid w:val="00271B56"/>
    <w:rsid w:val="0027216D"/>
    <w:rsid w:val="00272E32"/>
    <w:rsid w:val="00281280"/>
    <w:rsid w:val="002B0CF2"/>
    <w:rsid w:val="002C321D"/>
    <w:rsid w:val="002C344E"/>
    <w:rsid w:val="002C5A17"/>
    <w:rsid w:val="002D74FD"/>
    <w:rsid w:val="002E742A"/>
    <w:rsid w:val="002E75E9"/>
    <w:rsid w:val="002F0B1E"/>
    <w:rsid w:val="002F75DE"/>
    <w:rsid w:val="00307A6A"/>
    <w:rsid w:val="00307C40"/>
    <w:rsid w:val="00320433"/>
    <w:rsid w:val="003230C7"/>
    <w:rsid w:val="00327E50"/>
    <w:rsid w:val="0033597A"/>
    <w:rsid w:val="00343D89"/>
    <w:rsid w:val="00351119"/>
    <w:rsid w:val="00356EF0"/>
    <w:rsid w:val="003607A8"/>
    <w:rsid w:val="00362612"/>
    <w:rsid w:val="00363675"/>
    <w:rsid w:val="0036743F"/>
    <w:rsid w:val="003715DD"/>
    <w:rsid w:val="003823E0"/>
    <w:rsid w:val="003A37D9"/>
    <w:rsid w:val="003A4521"/>
    <w:rsid w:val="003A7258"/>
    <w:rsid w:val="003C2634"/>
    <w:rsid w:val="003D1C8C"/>
    <w:rsid w:val="003E195A"/>
    <w:rsid w:val="003E38C7"/>
    <w:rsid w:val="003F152A"/>
    <w:rsid w:val="0040096C"/>
    <w:rsid w:val="00414F1F"/>
    <w:rsid w:val="00417A46"/>
    <w:rsid w:val="00422BEE"/>
    <w:rsid w:val="00424313"/>
    <w:rsid w:val="004244CE"/>
    <w:rsid w:val="004248C5"/>
    <w:rsid w:val="00427D7B"/>
    <w:rsid w:val="0043125D"/>
    <w:rsid w:val="0043502B"/>
    <w:rsid w:val="0043727D"/>
    <w:rsid w:val="004443AC"/>
    <w:rsid w:val="00444B02"/>
    <w:rsid w:val="00451E28"/>
    <w:rsid w:val="00462C62"/>
    <w:rsid w:val="00465D36"/>
    <w:rsid w:val="00486533"/>
    <w:rsid w:val="004A4288"/>
    <w:rsid w:val="004B59F8"/>
    <w:rsid w:val="004C17EE"/>
    <w:rsid w:val="004C4BDF"/>
    <w:rsid w:val="004C5A1E"/>
    <w:rsid w:val="004D1187"/>
    <w:rsid w:val="004D3AA0"/>
    <w:rsid w:val="004D5BC4"/>
    <w:rsid w:val="004D7277"/>
    <w:rsid w:val="004E0D9E"/>
    <w:rsid w:val="004E1987"/>
    <w:rsid w:val="004E2BF2"/>
    <w:rsid w:val="004E2E15"/>
    <w:rsid w:val="004E38F2"/>
    <w:rsid w:val="004E6E3C"/>
    <w:rsid w:val="004E7CAE"/>
    <w:rsid w:val="004F473A"/>
    <w:rsid w:val="00520898"/>
    <w:rsid w:val="00521A4A"/>
    <w:rsid w:val="00523621"/>
    <w:rsid w:val="00524986"/>
    <w:rsid w:val="005261EE"/>
    <w:rsid w:val="005268F6"/>
    <w:rsid w:val="00532D35"/>
    <w:rsid w:val="00534284"/>
    <w:rsid w:val="0054140F"/>
    <w:rsid w:val="00547DB7"/>
    <w:rsid w:val="00551ADF"/>
    <w:rsid w:val="005527DF"/>
    <w:rsid w:val="005530DF"/>
    <w:rsid w:val="00557717"/>
    <w:rsid w:val="0056216E"/>
    <w:rsid w:val="005630F3"/>
    <w:rsid w:val="00571CA9"/>
    <w:rsid w:val="005731B6"/>
    <w:rsid w:val="00574C7A"/>
    <w:rsid w:val="00576A86"/>
    <w:rsid w:val="00577CF6"/>
    <w:rsid w:val="00595947"/>
    <w:rsid w:val="005A6FEE"/>
    <w:rsid w:val="005B7572"/>
    <w:rsid w:val="005D63A6"/>
    <w:rsid w:val="005E1747"/>
    <w:rsid w:val="005F4F09"/>
    <w:rsid w:val="00603B1C"/>
    <w:rsid w:val="00603F73"/>
    <w:rsid w:val="00607AAB"/>
    <w:rsid w:val="0061377C"/>
    <w:rsid w:val="0061431B"/>
    <w:rsid w:val="00622BAA"/>
    <w:rsid w:val="00626058"/>
    <w:rsid w:val="006306CF"/>
    <w:rsid w:val="00635162"/>
    <w:rsid w:val="00643724"/>
    <w:rsid w:val="00644E9A"/>
    <w:rsid w:val="00646650"/>
    <w:rsid w:val="006528FB"/>
    <w:rsid w:val="00653C06"/>
    <w:rsid w:val="00671BD5"/>
    <w:rsid w:val="00680129"/>
    <w:rsid w:val="006805C1"/>
    <w:rsid w:val="00686C21"/>
    <w:rsid w:val="006931C1"/>
    <w:rsid w:val="00694556"/>
    <w:rsid w:val="006A0C7E"/>
    <w:rsid w:val="006B560E"/>
    <w:rsid w:val="006C2E75"/>
    <w:rsid w:val="006C30C5"/>
    <w:rsid w:val="006D3B31"/>
    <w:rsid w:val="006D50FB"/>
    <w:rsid w:val="006E0D96"/>
    <w:rsid w:val="006E1A53"/>
    <w:rsid w:val="006F56E6"/>
    <w:rsid w:val="00704EDA"/>
    <w:rsid w:val="00706A37"/>
    <w:rsid w:val="00721122"/>
    <w:rsid w:val="0072151B"/>
    <w:rsid w:val="007331E2"/>
    <w:rsid w:val="00734689"/>
    <w:rsid w:val="007351F7"/>
    <w:rsid w:val="00742746"/>
    <w:rsid w:val="00751AF8"/>
    <w:rsid w:val="00753019"/>
    <w:rsid w:val="00754801"/>
    <w:rsid w:val="00761441"/>
    <w:rsid w:val="00771BEF"/>
    <w:rsid w:val="007738E0"/>
    <w:rsid w:val="00775111"/>
    <w:rsid w:val="007827F3"/>
    <w:rsid w:val="00784133"/>
    <w:rsid w:val="00784393"/>
    <w:rsid w:val="007857A9"/>
    <w:rsid w:val="00791429"/>
    <w:rsid w:val="00795365"/>
    <w:rsid w:val="007A351D"/>
    <w:rsid w:val="007B7765"/>
    <w:rsid w:val="007C09E2"/>
    <w:rsid w:val="007C2453"/>
    <w:rsid w:val="007C5BDD"/>
    <w:rsid w:val="007D45E3"/>
    <w:rsid w:val="007E6115"/>
    <w:rsid w:val="007F4609"/>
    <w:rsid w:val="008038F4"/>
    <w:rsid w:val="00805EFF"/>
    <w:rsid w:val="00814468"/>
    <w:rsid w:val="008176A1"/>
    <w:rsid w:val="00820005"/>
    <w:rsid w:val="00825D01"/>
    <w:rsid w:val="008265B1"/>
    <w:rsid w:val="00841C75"/>
    <w:rsid w:val="00844318"/>
    <w:rsid w:val="00857095"/>
    <w:rsid w:val="00860102"/>
    <w:rsid w:val="00863F5D"/>
    <w:rsid w:val="00870890"/>
    <w:rsid w:val="00873602"/>
    <w:rsid w:val="00875D12"/>
    <w:rsid w:val="00876170"/>
    <w:rsid w:val="0088159D"/>
    <w:rsid w:val="0088479D"/>
    <w:rsid w:val="00891F42"/>
    <w:rsid w:val="00896889"/>
    <w:rsid w:val="008A4BFD"/>
    <w:rsid w:val="008A600D"/>
    <w:rsid w:val="008A6E97"/>
    <w:rsid w:val="008C5714"/>
    <w:rsid w:val="008D10B2"/>
    <w:rsid w:val="008E08BE"/>
    <w:rsid w:val="00903896"/>
    <w:rsid w:val="00906F3D"/>
    <w:rsid w:val="00912DB5"/>
    <w:rsid w:val="00932A9D"/>
    <w:rsid w:val="00935110"/>
    <w:rsid w:val="00937308"/>
    <w:rsid w:val="0094424E"/>
    <w:rsid w:val="009450F1"/>
    <w:rsid w:val="009472A8"/>
    <w:rsid w:val="00955642"/>
    <w:rsid w:val="00955DAA"/>
    <w:rsid w:val="009622DF"/>
    <w:rsid w:val="0096493F"/>
    <w:rsid w:val="00967DFF"/>
    <w:rsid w:val="009816FB"/>
    <w:rsid w:val="009905DA"/>
    <w:rsid w:val="00994341"/>
    <w:rsid w:val="009A3621"/>
    <w:rsid w:val="009B404C"/>
    <w:rsid w:val="009B7B0F"/>
    <w:rsid w:val="009C2FD2"/>
    <w:rsid w:val="009C376B"/>
    <w:rsid w:val="009D0B59"/>
    <w:rsid w:val="009D1A48"/>
    <w:rsid w:val="009E1CE7"/>
    <w:rsid w:val="009E461A"/>
    <w:rsid w:val="009E4EA5"/>
    <w:rsid w:val="009F164B"/>
    <w:rsid w:val="009F2E49"/>
    <w:rsid w:val="009F323C"/>
    <w:rsid w:val="009F512B"/>
    <w:rsid w:val="00A009B2"/>
    <w:rsid w:val="00A04648"/>
    <w:rsid w:val="00A16401"/>
    <w:rsid w:val="00A263CE"/>
    <w:rsid w:val="00A264F3"/>
    <w:rsid w:val="00A3392B"/>
    <w:rsid w:val="00A37CB7"/>
    <w:rsid w:val="00A46717"/>
    <w:rsid w:val="00A5107C"/>
    <w:rsid w:val="00A55E33"/>
    <w:rsid w:val="00A85E34"/>
    <w:rsid w:val="00A9144F"/>
    <w:rsid w:val="00A92308"/>
    <w:rsid w:val="00A93A3E"/>
    <w:rsid w:val="00A94B64"/>
    <w:rsid w:val="00AA3229"/>
    <w:rsid w:val="00AA7596"/>
    <w:rsid w:val="00AB165E"/>
    <w:rsid w:val="00AB3AE3"/>
    <w:rsid w:val="00AB411F"/>
    <w:rsid w:val="00AB5E52"/>
    <w:rsid w:val="00AC3B02"/>
    <w:rsid w:val="00AC3B7B"/>
    <w:rsid w:val="00AC5209"/>
    <w:rsid w:val="00AC6B7C"/>
    <w:rsid w:val="00AE0E34"/>
    <w:rsid w:val="00AE729E"/>
    <w:rsid w:val="00AE7752"/>
    <w:rsid w:val="00AF08CB"/>
    <w:rsid w:val="00AF4438"/>
    <w:rsid w:val="00AF7FDA"/>
    <w:rsid w:val="00B1450B"/>
    <w:rsid w:val="00B5356E"/>
    <w:rsid w:val="00B61069"/>
    <w:rsid w:val="00B61BD3"/>
    <w:rsid w:val="00B809AD"/>
    <w:rsid w:val="00B80CBD"/>
    <w:rsid w:val="00B859C5"/>
    <w:rsid w:val="00B86096"/>
    <w:rsid w:val="00B90F27"/>
    <w:rsid w:val="00B964D9"/>
    <w:rsid w:val="00BA0A7C"/>
    <w:rsid w:val="00BA517C"/>
    <w:rsid w:val="00BB3D05"/>
    <w:rsid w:val="00BB53D3"/>
    <w:rsid w:val="00BB73BE"/>
    <w:rsid w:val="00BC2D89"/>
    <w:rsid w:val="00BC3C50"/>
    <w:rsid w:val="00BD6531"/>
    <w:rsid w:val="00BD72F6"/>
    <w:rsid w:val="00BE05B2"/>
    <w:rsid w:val="00BE0EE8"/>
    <w:rsid w:val="00BF0D92"/>
    <w:rsid w:val="00BF1908"/>
    <w:rsid w:val="00BF33BA"/>
    <w:rsid w:val="00C10B72"/>
    <w:rsid w:val="00C17042"/>
    <w:rsid w:val="00C22D93"/>
    <w:rsid w:val="00C23458"/>
    <w:rsid w:val="00C23AC9"/>
    <w:rsid w:val="00C31120"/>
    <w:rsid w:val="00C34482"/>
    <w:rsid w:val="00C36E7F"/>
    <w:rsid w:val="00C43648"/>
    <w:rsid w:val="00C50A9F"/>
    <w:rsid w:val="00C642FA"/>
    <w:rsid w:val="00C65CF2"/>
    <w:rsid w:val="00C770E3"/>
    <w:rsid w:val="00C771AD"/>
    <w:rsid w:val="00C81121"/>
    <w:rsid w:val="00C812D4"/>
    <w:rsid w:val="00CB33E5"/>
    <w:rsid w:val="00CB71EF"/>
    <w:rsid w:val="00CC7622"/>
    <w:rsid w:val="00CD608F"/>
    <w:rsid w:val="00CF6BB7"/>
    <w:rsid w:val="00D04AA4"/>
    <w:rsid w:val="00D25EC2"/>
    <w:rsid w:val="00D27982"/>
    <w:rsid w:val="00D33B86"/>
    <w:rsid w:val="00D3553C"/>
    <w:rsid w:val="00D44968"/>
    <w:rsid w:val="00D53924"/>
    <w:rsid w:val="00D549BE"/>
    <w:rsid w:val="00D55D0C"/>
    <w:rsid w:val="00D62662"/>
    <w:rsid w:val="00D7046B"/>
    <w:rsid w:val="00D7694F"/>
    <w:rsid w:val="00D76CA2"/>
    <w:rsid w:val="00D76E54"/>
    <w:rsid w:val="00D8610F"/>
    <w:rsid w:val="00D96D8C"/>
    <w:rsid w:val="00DA2495"/>
    <w:rsid w:val="00DA6649"/>
    <w:rsid w:val="00DC0035"/>
    <w:rsid w:val="00DC1259"/>
    <w:rsid w:val="00DC1BD2"/>
    <w:rsid w:val="00DC2571"/>
    <w:rsid w:val="00DC487C"/>
    <w:rsid w:val="00DD05A8"/>
    <w:rsid w:val="00DD4335"/>
    <w:rsid w:val="00DD43F3"/>
    <w:rsid w:val="00DE1E7D"/>
    <w:rsid w:val="00DE6BF6"/>
    <w:rsid w:val="00DF2F75"/>
    <w:rsid w:val="00E00223"/>
    <w:rsid w:val="00E00709"/>
    <w:rsid w:val="00E1068A"/>
    <w:rsid w:val="00E140C8"/>
    <w:rsid w:val="00E238C8"/>
    <w:rsid w:val="00E25884"/>
    <w:rsid w:val="00E25B55"/>
    <w:rsid w:val="00E3086A"/>
    <w:rsid w:val="00E31C2B"/>
    <w:rsid w:val="00E41220"/>
    <w:rsid w:val="00E5426A"/>
    <w:rsid w:val="00E542B4"/>
    <w:rsid w:val="00E54642"/>
    <w:rsid w:val="00E63583"/>
    <w:rsid w:val="00E80CBE"/>
    <w:rsid w:val="00E84830"/>
    <w:rsid w:val="00E9269D"/>
    <w:rsid w:val="00E962E3"/>
    <w:rsid w:val="00EB269B"/>
    <w:rsid w:val="00EB303D"/>
    <w:rsid w:val="00EB63BC"/>
    <w:rsid w:val="00EB6C79"/>
    <w:rsid w:val="00EC37E9"/>
    <w:rsid w:val="00EC3CFF"/>
    <w:rsid w:val="00EC4196"/>
    <w:rsid w:val="00EF574B"/>
    <w:rsid w:val="00F038D8"/>
    <w:rsid w:val="00F064E9"/>
    <w:rsid w:val="00F06995"/>
    <w:rsid w:val="00F12D66"/>
    <w:rsid w:val="00F13623"/>
    <w:rsid w:val="00F21E76"/>
    <w:rsid w:val="00F224C1"/>
    <w:rsid w:val="00F44D1D"/>
    <w:rsid w:val="00F52466"/>
    <w:rsid w:val="00F537DF"/>
    <w:rsid w:val="00F565EB"/>
    <w:rsid w:val="00F66766"/>
    <w:rsid w:val="00F73A51"/>
    <w:rsid w:val="00F84B6D"/>
    <w:rsid w:val="00F91116"/>
    <w:rsid w:val="00F957E8"/>
    <w:rsid w:val="00FA311A"/>
    <w:rsid w:val="00FA5111"/>
    <w:rsid w:val="00FA5FDA"/>
    <w:rsid w:val="00FB6AB3"/>
    <w:rsid w:val="00FC1BEA"/>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6066"/>
    <o:shapelayout v:ext="edit">
      <o:idmap v:ext="edit" data="1"/>
    </o:shapelayout>
  </w:shapeDefaults>
  <w:decimalSymbol w:val="."/>
  <w:listSeparator w:val=","/>
  <w14:docId w14:val="5288E803"/>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C812D4"/>
    <w:pPr>
      <w:spacing w:after="160" w:line="254"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48483">
      <w:bodyDiv w:val="1"/>
      <w:marLeft w:val="0"/>
      <w:marRight w:val="0"/>
      <w:marTop w:val="0"/>
      <w:marBottom w:val="0"/>
      <w:divBdr>
        <w:top w:val="none" w:sz="0" w:space="0" w:color="auto"/>
        <w:left w:val="none" w:sz="0" w:space="0" w:color="auto"/>
        <w:bottom w:val="none" w:sz="0" w:space="0" w:color="auto"/>
        <w:right w:val="none" w:sz="0" w:space="0" w:color="auto"/>
      </w:divBdr>
    </w:div>
    <w:div w:id="516620937">
      <w:bodyDiv w:val="1"/>
      <w:marLeft w:val="0"/>
      <w:marRight w:val="0"/>
      <w:marTop w:val="0"/>
      <w:marBottom w:val="0"/>
      <w:divBdr>
        <w:top w:val="none" w:sz="0" w:space="0" w:color="auto"/>
        <w:left w:val="none" w:sz="0" w:space="0" w:color="auto"/>
        <w:bottom w:val="none" w:sz="0" w:space="0" w:color="auto"/>
        <w:right w:val="none" w:sz="0" w:space="0" w:color="auto"/>
      </w:divBdr>
    </w:div>
    <w:div w:id="831994554">
      <w:bodyDiv w:val="1"/>
      <w:marLeft w:val="0"/>
      <w:marRight w:val="0"/>
      <w:marTop w:val="0"/>
      <w:marBottom w:val="0"/>
      <w:divBdr>
        <w:top w:val="none" w:sz="0" w:space="0" w:color="auto"/>
        <w:left w:val="none" w:sz="0" w:space="0" w:color="auto"/>
        <w:bottom w:val="none" w:sz="0" w:space="0" w:color="auto"/>
        <w:right w:val="none" w:sz="0" w:space="0" w:color="auto"/>
      </w:divBdr>
    </w:div>
    <w:div w:id="1305232145">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39842664">
      <w:bodyDiv w:val="1"/>
      <w:marLeft w:val="0"/>
      <w:marRight w:val="0"/>
      <w:marTop w:val="0"/>
      <w:marBottom w:val="0"/>
      <w:divBdr>
        <w:top w:val="none" w:sz="0" w:space="0" w:color="auto"/>
        <w:left w:val="none" w:sz="0" w:space="0" w:color="auto"/>
        <w:bottom w:val="none" w:sz="0" w:space="0" w:color="auto"/>
        <w:right w:val="none" w:sz="0" w:space="0" w:color="auto"/>
      </w:divBdr>
    </w:div>
    <w:div w:id="1361473510">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74843578">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971277131">
      <w:bodyDiv w:val="1"/>
      <w:marLeft w:val="0"/>
      <w:marRight w:val="0"/>
      <w:marTop w:val="0"/>
      <w:marBottom w:val="0"/>
      <w:divBdr>
        <w:top w:val="none" w:sz="0" w:space="0" w:color="auto"/>
        <w:left w:val="none" w:sz="0" w:space="0" w:color="auto"/>
        <w:bottom w:val="none" w:sz="0" w:space="0" w:color="auto"/>
        <w:right w:val="none" w:sz="0" w:space="0" w:color="auto"/>
      </w:divBdr>
    </w:div>
    <w:div w:id="199467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glossaryDocument" Target="glossary/document.xml" Id="rId17" /><Relationship Type="http://schemas.openxmlformats.org/officeDocument/2006/relationships/fontTable" Target="fontTable.xml" Id="rId16"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image" Target="/media/image.jpg" Id="R3930e4475e7b48e8"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1248</TotalTime>
  <Pages>57</Pages>
  <Words>17810</Words>
  <Characters>89051</Characters>
  <Application>Microsoft Office Word</Application>
  <DocSecurity>0</DocSecurity>
  <Lines>742</Lines>
  <Paragraphs>213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106648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גיל דניאל</cp:lastModifiedBy>
  <cp:revision>384</cp:revision>
  <dcterms:created xsi:type="dcterms:W3CDTF">2012-08-06T05:16:00Z</dcterms:created>
  <dcterms:modified xsi:type="dcterms:W3CDTF">2026-07-22T06:52:00Z</dcterms:modified>
</cp:coreProperties>
</file>

<file path=docProps/custom.xml><?xml version="1.0" encoding="utf-8"?>
<op:Properties xmlns:vt="http://schemas.openxmlformats.org/officeDocument/2006/docPropsVTypes" xmlns:op="http://schemas.openxmlformats.org/officeDocument/2006/custom-properties"/>
</file>